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DA" w:rsidRPr="00D834DA" w:rsidRDefault="00D834DA" w:rsidP="00D83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center"/>
        <w:rPr>
          <w:rFonts w:ascii="Times New Roman" w:eastAsia="ヒラギノ角ゴ Pro W3" w:hAnsi="Times New Roman" w:cs="Times New Roman"/>
          <w:b/>
          <w:noProof/>
          <w:color w:val="000000"/>
          <w:sz w:val="28"/>
          <w:szCs w:val="28"/>
        </w:rPr>
      </w:pPr>
      <w:r w:rsidRPr="00D834DA">
        <w:rPr>
          <w:rFonts w:ascii="Times New Roman" w:eastAsia="ヒラギノ角ゴ Pro W3" w:hAnsi="Times New Roman" w:cs="Times New Roman"/>
          <w:b/>
          <w:noProof/>
          <w:color w:val="000000"/>
          <w:sz w:val="28"/>
          <w:szCs w:val="28"/>
        </w:rPr>
        <w:t>Резюме к отчету за 2016 год о реализации Плана мероприятий по реализации Программы повышен</w:t>
      </w:r>
      <w:bookmarkStart w:id="0" w:name="_GoBack"/>
      <w:bookmarkEnd w:id="0"/>
      <w:r w:rsidRPr="00D834DA">
        <w:rPr>
          <w:rFonts w:ascii="Times New Roman" w:eastAsia="ヒラギノ角ゴ Pro W3" w:hAnsi="Times New Roman" w:cs="Times New Roman"/>
          <w:b/>
          <w:noProof/>
          <w:color w:val="000000"/>
          <w:sz w:val="28"/>
          <w:szCs w:val="28"/>
        </w:rPr>
        <w:t>ия конкурентоспособности (»Дорожная карта") Федерального государственного бюджетного образовательного учреждения высшего профессионального образования "Национальный исследовательский Томский государственный университет" на период 2013-2020 годов (2 – й этап-2015-2016 годы).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Представленный отчет отражает ход и результаты выполнения Плана мероприятий по реализации программы повышения конкурентоспособности федерального государственного автономного образовательного учреждения высшего образования «Национальный исследовательский Томский государственный университет» среди ведущих мировых научно-образовательных центров в 2016 году.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отчетный период деятельность по программе была направлена на доосмысление и доработку целевой модели, развитие инновационной экосистемы, реинжиниринг образовательного процесса; создание и развитие консорциума САЕ; активное позиционирование и управление репутацией.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Пересмотрены основные процессы университета: производство научного знания, образование, инновации с учетом базовых ценностей ТГУ (классичности, фундаментальности и  открытости), находящихся в основании целевой модели («Генома университета»). Новое понимание уникальности ТГУ как классического университета привело к фокусировке на сфере повышения качества жизни человека и общества.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Перекрестное взаимодействие оснований и процессов определяет содержание элементов целевой модели университета, университетские политики, процедуры и механизмы их реализации, которые отражены в Плане мероприятий по реализации программы повышения конкурентоспособности университета. Все проведенные в 2016 году  мероприятия были направлены на реализацию ключевых университетских политик, например,  интеграцию образования и науки, индивидуализацию и интернационализацию в образовании, интеграцию исследовательских групп университета в ведущие международные научно-образовательные сети. Одним из результатов реализации политик стало создание четырех САЕ.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САЕ - междисциплинарные магистерско-аспирантские институты, опираются на широкие бакалавриаты, в котором размещают свои проекты, и основаны на интеграции исследований (лаборатории и центры превосходства), инноваций (инновационная экосистема) и образования (управление по образовательным программам). Нацелены на комплексную проблематику и трансдисциплинарные методы  исследований и на трансфер знаний в экономику. На национальном уровне проекты САЕ скоординированы с деятельностью по определению ключевых технологий и продвижению на новые рынки российских быстрорастущих глобальноориентированных компаний (в том числе лидеров НТИ), которые являются основными потребителями кадров САЕ и заказчиками НИОКР.  Для вовлечения ключевых предприятий-партнеров создан Совет промышленных партнеров.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В 2016 году в соответствии со стратегическими инициативами,  мероприятиями  Плана мероприятий по реализации Программы повышения конкурентоспособности («дорожной карты») и планом работы САЕ на 2016 год были разработаны и утверждены положения, регламенты и другие локальные акты, регулирующие деятельность САЕ; созданы Административные и Учебные советы САЕ; определены группы структурных подразделений, образующие каждую САЕ, сформировано штатное расписание;</w:t>
      </w:r>
      <w:proofErr w:type="gramEnd"/>
      <w:r w:rsidRPr="002956F7">
        <w:rPr>
          <w:rFonts w:ascii="Times New Roman" w:eastAsia="ヒラギノ角ゴ Pro W3" w:hAnsi="Times New Roman" w:cs="Times New Roman"/>
          <w:noProof/>
          <w:color w:val="000000"/>
          <w:sz w:val="28"/>
          <w:szCs w:val="28"/>
        </w:rPr>
        <w:t xml:space="preserve"> утверждена система финансового обеспечения САЕ; подготовлены комплексные интегрирующие исследовательские проекты; </w:t>
      </w:r>
      <w:r w:rsidRPr="002956F7">
        <w:rPr>
          <w:rFonts w:ascii="Times New Roman" w:eastAsia="ヒラギノ角ゴ Pro W3" w:hAnsi="Times New Roman" w:cs="Times New Roman"/>
          <w:noProof/>
          <w:color w:val="000000"/>
          <w:sz w:val="28"/>
          <w:szCs w:val="28"/>
        </w:rPr>
        <w:lastRenderedPageBreak/>
        <w:t>организованы и проведены мероприятия информационного характера о работе системы САЕ и каждой САЕ; проведены публичные обсуждения стратегических академических единиц; проведены организационные и научные мероприятие в рамках САЕ.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Для эффективного развития инновационной экосистемы (инфраструктуры), формирования предпринимательской культуры и инновационно-предпринимательского трека в образовании в 2016 году был создан Институт экономики и менеджмента (далее - ИЭМ). Задача института – стать ведущим центром экономического и управленческого образования.  ИЭМ построен в соответствие с передовыми международными стандартами и  включает в себя: бизнес-инкубатор, отдел трансфера технологий.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рамках реализации 100 мероприятий, 22 задач, предусмотренных дорожной картой, научно-педагогический и управленческий персонал выполняет 137 организационных, образовательных, исследовательских проектов, направленных на 6 ключевых областей развития.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Наиболее значительными из достигнутых результатов являются: создание  и развитие 4 стратегических академических единиц,  реинжиниринг образовательного процесса, разработка и внедрение 11 совместных с зарубежными университетами магистерских и аспирантских программ, реализация 57 совместных международных образовательных программ, создание среды генерации новых проектов, участие свыше 1000 сотрудников в реализации исследовательских, образовательных, организационных проектов, привлечение в университет за 2016 года 127 зарубежных ученых и специалистов</w:t>
      </w:r>
      <w:proofErr w:type="gramEnd"/>
      <w:r w:rsidRPr="002956F7">
        <w:rPr>
          <w:rFonts w:ascii="Times New Roman" w:eastAsia="ヒラギノ角ゴ Pro W3" w:hAnsi="Times New Roman" w:cs="Times New Roman"/>
          <w:noProof/>
          <w:color w:val="000000"/>
          <w:sz w:val="28"/>
          <w:szCs w:val="28"/>
        </w:rPr>
        <w:t>, свыше 1100 за 2016 год публикаций в журналах с квартилями Q1 и Q2, общее количество публикаций в БД WoS и Scopus свыше 2500(увеличение в 5 раза с 2013 года (464)).</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С 2013 года ТГУ на 200 пунктов улучшил свою позицию в междуна-родном рейтинге QS World University Rankings и в 2016/17  занял 377-е место, а также вошел в ТОП-100 ведущих университетов стран БРИКС по версии QS (43 место, 6 –е среди российских вузов). QS World University Rankings «Развивающаяся Европа и Центральная Азия» (ЕЕСА) он поднялся на 20-е место (5–е среди российских вузов). В рейтинге Times Higher Education BRICS &amp; Emerging Economies Rankings 2016/17 ТГУ  занял 60-ю позицию в общем списке и стал девятым среди российских вузов. В международном репутационном рейтинге Round University Ranking (RUR) ТГУ поднялся на 112 строчек вверх, занял 249 место и стал 4 среди российских вузов.  По результатам 2016 года университет улучшил свои позиции в рейтинге Webometrics BRICS и занял 108 место (2015г.-153 место).</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При выборе САЕ акцент был сделан на научные исследования, кадровое и технологическое обеспечение процессов трансформации человека и общества при переходе к новому промышленному укладу, что определило логику выбора приоритетных направлений исследований, концентрирующихся на подготовке (прежде всего магистерско-аспирантских и PhD) кадров и трансдисциплинарных исследованиях для четырех ключевых сфер изменений: </w:t>
      </w:r>
      <w:proofErr w:type="gramStart"/>
      <w:r w:rsidRPr="002956F7">
        <w:rPr>
          <w:rFonts w:ascii="Times New Roman" w:eastAsia="ヒラギノ角ゴ Pro W3" w:hAnsi="Times New Roman" w:cs="Times New Roman"/>
          <w:noProof/>
          <w:color w:val="000000"/>
          <w:sz w:val="28"/>
          <w:szCs w:val="28"/>
        </w:rPr>
        <w:t>Человек (Институт биомедицины), Общество (Институт человека цифровой эпохи), Физическая среда (Институт «Умные материалы и технологии», Окружающая среда (TSSW:</w:t>
      </w:r>
      <w:proofErr w:type="gramEnd"/>
      <w:r w:rsidRPr="002956F7">
        <w:rPr>
          <w:rFonts w:ascii="Times New Roman" w:eastAsia="ヒラギノ角ゴ Pro W3" w:hAnsi="Times New Roman" w:cs="Times New Roman"/>
          <w:noProof/>
          <w:color w:val="000000"/>
          <w:sz w:val="28"/>
          <w:szCs w:val="28"/>
        </w:rPr>
        <w:t xml:space="preserve"> </w:t>
      </w:r>
      <w:proofErr w:type="gramStart"/>
      <w:r w:rsidRPr="002956F7">
        <w:rPr>
          <w:rFonts w:ascii="Times New Roman" w:eastAsia="ヒラギノ角ゴ Pro W3" w:hAnsi="Times New Roman" w:cs="Times New Roman"/>
          <w:noProof/>
          <w:color w:val="000000"/>
          <w:sz w:val="28"/>
          <w:szCs w:val="28"/>
        </w:rPr>
        <w:t>Сибирский институт будущего).</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lastRenderedPageBreak/>
        <w:t>Формирование САЕ стимулирует реинжиниринг образования и завершает процесс дооформления бакалаврской и магистерско-аспирантской частей университета. Данные части сохраняют глубокую интеграцию, но получают четко выраженную специфику, выраженную во взаимодополняемых результатах деятельности и ключевых показателях ее эффективности.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Образовательный процесс САЕ представлен уникальными интегрированными междисциплинарными надфакультетскими программами магистратуры. Программы на русском и английском языках построены на проблемном, проектном обучении, с учетом исследовательского и предпринимательского треков, с участием работодателей в их разработке и реализации. САЕ формируют портфель проектов и курируют их выполнение студентами соответствующих бакалавриатов. Для реализации индивидуальной образовательной траектории предусмотрена модульная структура ООП, а также наличие программ ДО, ДПО, кампусных курсов и курсов по выбору.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Структура управления формируется на основе принципов shared governance. Для организации и координации программ и проектов, их финансирования, подбора персонала были созданы административные и учебные  офисы САЕ.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САЕ «Институт биомедицины» - центр в области биомедицинских технологий, обеспечивающих повышение качества жизни и активного долголетия человека, развития трансляционной медицины.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К работе Института привлечены такие ведущие ученые как: Лауреат Нобелевской премии в области медицины 2008, почетный доктор ТГУ, Х. цур Хаузен; Юлия Кжышковска, руководитель департамента Института трансфузионной медицины и иммунологии  университета Гейдельберга; Профессор В.Жаров, Университет медицинских наук Арканзаса; Профессор К.Ларин, Университет Хьюстона; Профессор Стивен Джонстон, содиректор Института Биодизайна (Университет штата Аризона); Даниэль Стамате, Лондонский Университет (Голдсмитс-колледж); Томас Прейсер, Технический университет Дрездена и другие.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Институт биомедицины концентрируется на междисциплинарных образовательных программах, в основе которых находятся результаты исследований центров превосходства и технологические проекты с ведущими компаниями. Примерами таких программ являются разработанные и внедренные в 2016 году магистерские программы: «Интеллектуальный анализ данных и биоинформатика» и «Трансляционные химические и биомедицинские технологии».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создан Альянс трансляционной медицины (АТМ), чтобы ускорить внедрение передовых достижений фундаментальной науки в практическое здравоохранение. В Альянс вошли Томский государственный университет, НИЯУ МИФИ, Нижегородский государственный университет имени Н.И. Лобачевского и Фонд «Центр стратегических разработок «Северо-Запад». На базе университетов АТМ планируется открытие сетевых образовательных программ магистратуры и аспирантуры по новым направлениям – на стыке физики, химии, биологии и медицины, что позволит выпускать специалистов, готовых использовать передовые достижения науки в практической медицине.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lastRenderedPageBreak/>
        <w:t xml:space="preserve">В целях развития системной интеграции с Сибирским медицинским университетом и пятью академическими институтами бывшей Академии медицинских наук и выполнения крупных совместных проектов проведена подготовительная работа для создания консорциума по трансляционной медицине.  В августе 2016 года при участии ТГУ прошло совещании по вопросам комплексного развития медицины и фармацевтической отрасли в Томской области. Сформирован пакет проектов консорциума,  в который в том числе вошли проекты ТГУ. Планируется, что совместные проекты сделают возможным создание совместных малых инновационных предприятий для производства продуктов клинического применения.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Достигнута договоренность между  ТГУ, СибГМУ и Университетом Маастрихта (Нидерланды) об открытии первого в России международного Центра общественного здоровья (Public Health Center). В рамках его работы ученые трех вузов займутся комплексным изучением проблем здоровья – как с медицинской, так и с социологической, философской, этической и других сторон. Центр откроется в 2017 году.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целях увеличения эффективности и качества научной деятельности САЕ получил развитие Центр превосходства в области высоких технологий в области медицины занимается разработкой технологий диагностики и лечения заболеваний в области кардиологии, онкологии, нейрозаболеваний.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САЕ Институт «Умные материалы и технологии» -  научно-образовательный центр мирового уровня, обеспечивающий подготовку конкурентоспособных специалистов, проведение научных исследований в области прогнозирования на нано- и мезоуровне физико-химических свойств новых материалов и технологических процессов на основе математического и компьютерного моделирования с последующим переходом к полному циклу исследования, производства и внедрения «умных» материалов и технологий.</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В 2016 году были разработаны и  внедрены междисциплинарные программы магистратуры (ООП «Фундаментальная и прикладная химия») и аспирантуры («Тепловые  двигатели и энергоустановки летательных аппаратов» Партнеры:</w:t>
      </w:r>
      <w:proofErr w:type="gramEnd"/>
      <w:r w:rsidRPr="002956F7">
        <w:rPr>
          <w:rFonts w:ascii="Times New Roman" w:eastAsia="ヒラギノ角ゴ Pro W3" w:hAnsi="Times New Roman" w:cs="Times New Roman"/>
          <w:noProof/>
          <w:color w:val="000000"/>
          <w:sz w:val="28"/>
          <w:szCs w:val="28"/>
        </w:rPr>
        <w:t xml:space="preserve"> </w:t>
      </w:r>
      <w:proofErr w:type="gramStart"/>
      <w:r w:rsidRPr="002956F7">
        <w:rPr>
          <w:rFonts w:ascii="Times New Roman" w:eastAsia="ヒラギノ角ゴ Pro W3" w:hAnsi="Times New Roman" w:cs="Times New Roman"/>
          <w:noProof/>
          <w:color w:val="000000"/>
          <w:sz w:val="28"/>
          <w:szCs w:val="28"/>
        </w:rPr>
        <w:t>ФЦДТ «Союз», Российский химикотехнологический университет им. Д.И.Менделеев).</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Основными результатами научно-исследовательской деятельности САЕ стало заключение 2-ух лицензионных соглашений с компанией Dectris (Баден, Швейцария) на право пользования двумя объектами коммерческой тайны (ноу-хау) в области полупроводниковых материалов и изделий на сумму 147,5 млн рублей (33,4 млн в 2016 году). Кроме того, выполнялись и прямые поставки полупроводниковых детекторов рентгеновских излучений по заказам ведущих исследовательских центров на общую сумму 24,6 млн рублей.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 ТГУ стал ассоциированным членом международной коллаборации АТЛАС. Впервые с 90-х годов в Коллаборацию Атлас выступил новый российский участник. На начало 2017 года в составе группы ТГУ два действующих автора Атлас: в ведущих мировых журналах опубликовано более 100 научных статей. Продолжена работа исследовательской группы ТГУ в работах на Большом адронном коллайдере (БАК) ЦЕРН (крупнейшая установка мега-класса). Была сформирована программа работ, которая получила одобрение Научно-координационного комитета Курчатовского Института, группы АТЛАС Брукхейвенской Национальной лаборатории (США) и была поддержана руководством коллаборации АТЛАС. В рамках проекта ТГУ разрабатывает электронику для модернизации детектора ATLAS на Большом адронном коллайдере совместно с учеными Брукхейвенской национальной лаборатории (США), Института им. Вайцмана (Израиль) и другими участниками проекта ATLAS. Также радиофизики университета создают радиационно стойкие детекторы для экспериментов по исследованию свойств бозона Хиггса по заказу ATLAS. В состав коллаборации входит более 80 исследовательских организаций и университетов со всего мира, главным образом из стран ЕС, США, Японии, Китая, Бразилии, Чили.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Проведена международная конференция «High Energy Materials: Demilitarization, Antiterrorism and Civil Application» с участием более 20 ведущих мировых ученых в области высокоэнергетических материалов и систем из США, Великобритании, Японии, Германии, Франции и более 50 ученых из ведущих российских научно-образовательных и индустриальных организаций.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целях увеличения эффективности и качества научной деятельности получили развитие Центры превосходства в составе САЕ: Центр физики, занимающийся  фундаментальными проблемами жизнеустройства; Центр новых материалов, исследующий передовые высокоэнергетические конструкции, материалы с памятью формы и безопасность жизнедеятельности.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феврале 2016г. в Томском государственном университете была САЕ TSSW: Сибирский институт будущего - исследовательский центр, специализирующийся на изучении Сибири, а также повышении уровня узнаваемости и укрепление международной академической репутации ТГУ.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К работе центра привлечены ведущие ученые и эксперты, в т.ч. члены Международного Академического совета ТГУ, такие как профессор Университета Шеффилда, сопредседатель Международного академического совета Терри Каллаган, Нобелевский лауреат по медицине Цур Хаузен, Юлия Кжышковска, Сергей Покровский, Дмитрий Функ. Университет представлен как точка выхода мира в регион, что позволяет  создавать новые академические сети, в которых университет выступает лидером в глобальных исследовательских проектах.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целях усиления интеграции образовательной и научной деятельностей  и развития исследовательской международной магистратуры в 2016 году были разработаны и  внедрены междисциплинарные программы магистратуры, связанные с научными исследованиями TSSW: программа «Изучение Сибири и Арктики» («Siberian and Arctic  Studies») и «Russian Studies: история и современное развитие сибирского региона», «Евразийская интеграция».  </w:t>
      </w:r>
      <w:proofErr w:type="gramStart"/>
      <w:r w:rsidRPr="002956F7">
        <w:rPr>
          <w:rFonts w:ascii="Times New Roman" w:eastAsia="ヒラギノ角ゴ Pro W3" w:hAnsi="Times New Roman" w:cs="Times New Roman"/>
          <w:noProof/>
          <w:color w:val="000000"/>
          <w:sz w:val="28"/>
          <w:szCs w:val="28"/>
        </w:rPr>
        <w:t>Данные программы рассчитаны на взаимодействие с ведущими зарубежными университетами и международными научными сетями (Университет UArctic, INTERACT, Observatoire Midi Pyrénées (Франция), Университет Стефана Вышинского (Польша), Geophysical Institute, University of Alaska Fairbanks (США); промышленными и административными партнерами ТГУ (администрации Томской области, ХМАО, ЯНАО, ОАО «Газпром Космические системы», ОАО «Томгипротранс»).</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 2 магистерские программы, реализуемые в рамках  САЕ TSSW: Сибирский Институт будущего, прошли аккредитацию: «Историческая и региональная геология» (направление 05.04.01 Геология), «Геология полезных ископаемых» (направление 05.04.01 Геология).</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ТГУ на базе САЕ «TSSW: Сибирский институт будущего» запустил Сибирскую сеть по изучению изменений окружающей среды (SecNet). Сеть объединила ученых, которые совместно  изучают влияние глобальных климатических изменений  и человека на экологию Сибири и Арктики, чтобы спрогнозировать негативные последствия такого воздействия. Ее участниками, в частности, стали крупные междисциплинарные исследовательские центры: BioClimLand ТГУ, Canadian Mountain Network, USA NEON и Arctic INTERACT.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Проведены международные междисциплинарные школы: летняя научная школа-семинар «Наука как форма жизни» на базе исследовательской станции ТГУ «Кайбасово», летняя школа на английском языке «Наследие Евразии: прошлое, настоящее и будущее», Летняя школа интенсивного обучения русскому языку (Summer School of Intensive Russian), Летняя школа «Геология, география и экология азиатского высокогорья». Количество участников из 8 стран мира превысило 300 человек.</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ученые ТГУ выиграли 2 мегагранта в размере 90 млн руб в рамках ППРФ №220. Одним является проект команды ученых ТГУ под руководством члена-корреспондента РАН Анны Дыбо по исследованию языков Южной Сибири. Вторым проектом является создание новой лаборатории геохронологии и геодинамики, в которой с высокой точностью можно будет определять возраст геологических объектов и уточнять потенциал сибирских месторождений. Работать над проектом будут ученые из ТГУ, США, Китая, Канады и Испании. Руководителем является канадский ученый Ричард Эрнст. В рамках грантов работа будет вестись в течение трех лет (2017–2020 годы).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Для развития цифровых исследований в 2016 году создана САЕ «Институт человека цифровой эпохи» -  междисциплинарный научно-образовательный центр в области инновационных методов анализа данных и машинного обучения, изучения влияния социальных взаимоотношений между людьми на принятие рациональных экономических и общественных решений.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Институт вошли созданные в 2015 году  НОЦ и Лаборатория  экспериментальных методов и анализа больших данных в общественных и когнитивных науках, руководителем, которого является профессор Орегонского университета (США) М. Мягков. Индустриальными партнерами Института являются: компания «Крибрум» (Москва), которая предоставляет данные социальных медиа, оказывает помощь в анализе этих данных, участвует в обучении студентов и сотрудников ТГУ методам и технологиям сбора информации в соцсетях; группа компаний InfoWatch, компания «Лаборатория Касперского», компания «Ашманов и партнеры». Техническая часть процесса по обработке и хранению данных осуществляется с использованием суперкомпьютера ТГУ. В составе команды – признанные российские и зарубежные ученые: профессор Университета Карнеги-Меллон (США) Анатолий Гершман, профессор РАН Константин Воронцов, декан факультета информатики Нью-Йоркского университета (США) Денис Зорин, профессор университета штата Орегон (США), руководитель НОЦ перспективных исследований в общественных и когнитивных науках ТГУ Михаил Мягков и другие.  Также к работе Института привлечены: Юлия Ковас, директор Международной  лаборатории междисциплинарных исследований индивидуальных различий в обучении (InLab) Голдсмитс, Университет Лондона (Великобритания); Родерик Кивит (Rod Kiewiet), профессор политологии Калифорнийского технологического института (California Institute of Technology) и другие.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целях увеличения эффективности и качества научной деятельности САЕ был создан Центр превосходства им. Жана Монне, который исследует опыт Европейского союза в области молодежной политики и демократических процессов для укрепления гражданского общества в России на региональном и местном уровне.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Образовательный процесс представлен уникальными интегрированными программами магистратуры: «Цифровые технологии в социогуманитарных практиках», «Гуманитарная информатика», «Развитие человека: генетика, нейронаука и психология».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рамках  САЕ «Институт цифровой эпохи» в 2016 г. выполнено более 60 научных проектов на сумму 300 млн рублей млн. руб., в том числе: </w:t>
      </w:r>
      <w:proofErr w:type="gramStart"/>
      <w:r w:rsidRPr="002956F7">
        <w:rPr>
          <w:rFonts w:ascii="Times New Roman" w:eastAsia="ヒラギノ角ゴ Pro W3" w:hAnsi="Times New Roman" w:cs="Times New Roman"/>
          <w:noProof/>
          <w:color w:val="000000"/>
          <w:sz w:val="28"/>
          <w:szCs w:val="28"/>
        </w:rPr>
        <w:t>Грант Правительства РФ по направлению «Когнитивная психология» (ППРФ 220); генетически информативное лонгитюдное исследование психического развития детей в раннем возрасте; гуманитарные науки в эпоху цифровых технологий; создание отечественного высокотехнологичного ПИК для реализации систем управления технологическими процессами на базе свободного ПО (ППРФ 218); исследования междисциплинарных научных оснований социальной робототехники в контексте гуманитарной информатики;</w:t>
      </w:r>
      <w:proofErr w:type="gramEnd"/>
      <w:r w:rsidRPr="002956F7">
        <w:rPr>
          <w:rFonts w:ascii="Times New Roman" w:eastAsia="ヒラギノ角ゴ Pro W3" w:hAnsi="Times New Roman" w:cs="Times New Roman"/>
          <w:noProof/>
          <w:color w:val="000000"/>
          <w:sz w:val="28"/>
          <w:szCs w:val="28"/>
        </w:rPr>
        <w:t xml:space="preserve"> математическое моделирование реконфигурируемых систем управления и обработки информации и др.</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На повышение качества исследований и повышение репутации университета в международном научно-образовательном пространстве  направлена международная экспертиза проектов; привлечение ведущих ученых; конкурсные процедуры поддержки проектов; поддержка профессионального развития научно-педагогического персонала;  поддержка междисциплинарных исследовательских проектов, отвечающих мировой исследовательской повестке; интеграция в международные исследовательские сети.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года проведена ежегодная стратегическая сессия Международного академического совета университета. Главной темой, которой стал реинжиниринг образовательного процесса. Ведущие эксперты обсудили стратегии продвижения университета в мировых рейтингах, образовательную политику, развитию публикационной активности по предметным областям или направлениям деятельности, стратегию развития САЕ.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Для концентрации на приоритетных направлениях развития  фундаментальных и прикладных исследований в университете и их поддержки в соответствии с  приоритетами программы были проведены Научного фонда ТГУ им. Д.И. Менделеева на выполнение исследовательских проектов лабораторий мирового уровня, инициативных  исследовательских  проектов. Были поддержаны проекты на сумму свыше 520 млн. руб. Ежеквартально проводится  конкурс грантов на академическую мобильность НПР, аспирантов, молодых ученых, обучающихся.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рамках развития инфраструктуры, увеличения эффективности и качества научной деятельности в 2016 получили развитие 7 Центров превосходства, созданные в 2014 и 2015 годах. Центр исследований биоты, климата и ландшафтов «БиоКлимЛанд» исследует сложные экосистемы жизни; когнитивный - раннее развитие человека, генетические и средовые факторы одаренности и обучаемости; Центр физики – фундаментальные проблемы жизнеустройства; Центр высоких технологий в области медицины занимается разработкой технологий диагностики и лечения заболеваний в области кардиологии, онкологии, нейрозаболеваний; Центр новых материалов - передовые высокоэнергетические конструкции, материалы с памятью формы и безопасность жизнедеятельности, Центр превосходства им. Жана Монне - опыт Европейского союза в области молодежной политики и демократических процессов для укрепления гражданского общества в России на региональном и местном уровне.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Усиление состава, ставка на мотивацию, стимулирование и обучение научного персонала привели к увеличению количества и качества публикаций. Важным эффектом стало увеличение количества статей, написанных основным научным персоналом университета (около 65%). Общее число статей, опубликованных сотрудниками университета в 2016 г., составило  свыше 2500 статей в базах данных Web of Science и Scopus из них около 1100 в журналах с квартилями Q1 и Q2.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lang w:val="en-US"/>
        </w:rPr>
      </w:pPr>
      <w:r w:rsidRPr="002956F7">
        <w:rPr>
          <w:rFonts w:ascii="Times New Roman" w:eastAsia="ヒラギノ角ゴ Pro W3" w:hAnsi="Times New Roman" w:cs="Times New Roman"/>
          <w:noProof/>
          <w:color w:val="000000"/>
          <w:sz w:val="28"/>
          <w:szCs w:val="28"/>
        </w:rPr>
        <w:t xml:space="preserve">В 2016 году 6 научных журнала ТГУ были включены в БД Scopus, в том числе научный журнал Томского государственного университета «Сибирские исторические исследования» и «Вестник Томского государственного университета. Филология». ТГУ стал единственным университетом России, у которого  два журнала по гуманитарным наукам приняты в Scopus. Международный исторический журнал «Русин», индексируемый базой данных Scopus, соиздателем которого является университет, вошел в 1-ый квартиль, как лучший исторический журнал Восточной Европы. </w:t>
      </w:r>
      <w:proofErr w:type="gramStart"/>
      <w:r w:rsidRPr="002956F7">
        <w:rPr>
          <w:rFonts w:ascii="Times New Roman" w:eastAsia="ヒラギノ角ゴ Pro W3" w:hAnsi="Times New Roman" w:cs="Times New Roman"/>
          <w:noProof/>
          <w:color w:val="000000"/>
          <w:sz w:val="28"/>
          <w:szCs w:val="28"/>
        </w:rPr>
        <w:t>Для</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сотрудников</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ТГУ</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открыт</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доступ</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к</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основным</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электронным</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базам</w:t>
      </w:r>
      <w:r w:rsidRPr="002956F7">
        <w:rPr>
          <w:rFonts w:ascii="Times New Roman" w:eastAsia="ヒラギノ角ゴ Pro W3" w:hAnsi="Times New Roman" w:cs="Times New Roman"/>
          <w:noProof/>
          <w:color w:val="000000"/>
          <w:sz w:val="28"/>
          <w:szCs w:val="28"/>
          <w:lang w:val="en-US"/>
        </w:rPr>
        <w:t xml:space="preserve"> </w:t>
      </w:r>
      <w:r w:rsidRPr="002956F7">
        <w:rPr>
          <w:rFonts w:ascii="Times New Roman" w:eastAsia="ヒラギノ角ゴ Pro W3" w:hAnsi="Times New Roman" w:cs="Times New Roman"/>
          <w:noProof/>
          <w:color w:val="000000"/>
          <w:sz w:val="28"/>
          <w:szCs w:val="28"/>
        </w:rPr>
        <w:t>данных</w:t>
      </w:r>
      <w:r w:rsidRPr="002956F7">
        <w:rPr>
          <w:rFonts w:ascii="Times New Roman" w:eastAsia="ヒラギノ角ゴ Pro W3" w:hAnsi="Times New Roman" w:cs="Times New Roman"/>
          <w:noProof/>
          <w:color w:val="000000"/>
          <w:sz w:val="28"/>
          <w:szCs w:val="28"/>
          <w:lang w:val="en-US"/>
        </w:rPr>
        <w:t xml:space="preserve"> (DB Elsevier:</w:t>
      </w:r>
      <w:proofErr w:type="gramEnd"/>
      <w:r w:rsidRPr="002956F7">
        <w:rPr>
          <w:rFonts w:ascii="Times New Roman" w:eastAsia="ヒラギノ角ゴ Pro W3" w:hAnsi="Times New Roman" w:cs="Times New Roman"/>
          <w:noProof/>
          <w:color w:val="000000"/>
          <w:sz w:val="28"/>
          <w:szCs w:val="28"/>
          <w:lang w:val="en-US"/>
        </w:rPr>
        <w:t xml:space="preserve"> ScienceDirect, Illunine8, SciVal, Scopus; DB BCC Research; DB Thomson Reuters Web of Science Core Collection, InCites, Journal Citation Report, Essential Science Indicators, EndNote).</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рамках реализации планов проведения исследований с учётом приоритетных международных направлений фундаментальных и прикладных исследований общий объем выполняемых и заключенных договоров, контрактов, проектов составил около 1,65 млрд руб., свыше 70% которых составляют крупные масштабные проекты и гранты.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Наиболее значимыми научно-техническими проектами и грантами, выполняемыми университетом в 2016 г. являются:</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Гранты Правительства Российской Федерации (2)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по направлениям: науки о земле и смежные экологические науки, когнитивная психология, история и археология;</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Комплексные проекты (1) по созданию высокотехнологичного производства, Минобрнауки России;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20 проектов, выполняемый по ФЦП «Исследования и разработки по приоритетным направлениям развития научно-технологического комплекса России на 2007-2012 годы», Минобрнауки России;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По государственному заданию Министерства образования и науки Российской Федерации выполнялось 34 проекта, 15 из которых в рамках базовой части и 19 научных проектов поддержаны в результате конкурсного отбора  проектной части госзадания.</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19 проектов, финансируемых Российским научным фондом (РНФ) на общую сумму  123,2 млн руб в 2016 г.</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Гранты РФФИ и РГНФ (171);</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Гранты Президента РФ для поддержки молодых российских ученых (молодые кандидаты – 15, молодые доктора - 4).</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Для развития внешнего инновационного контура в 2016 году проведен пересмотр модели организации инновационной деятельности и была введена новая должность профильного проректора. Эту должность занял Беляков К.О., вице-президент ГК «Элекард». Был разработан и развернут план действий, предусматривающий проведение мероприятий федерального и регионального уровня; развитие инфраструктуры; создание условий, благоприятных для выполнения проектов в Томске, формирование финансовой поддержки, активная работа с азиатскими рынками, переговоры с международными компаниями о востребованных разработках от российских компаний и вузов.</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Складывается комплексная программа взаимодействия на основе выполнения инновационных, исследовательских, образовательных  проектов с компаниями, работающими в сфере высоких технологий с использованием передовых производств, такими как: </w:t>
      </w:r>
      <w:r w:rsidRPr="002956F7">
        <w:rPr>
          <w:rFonts w:ascii="Times New Roman" w:eastAsia="ヒラギノ角ゴ Pro W3" w:hAnsi="Times New Roman" w:cs="Times New Roman"/>
          <w:noProof/>
          <w:color w:val="000000"/>
          <w:sz w:val="28"/>
          <w:szCs w:val="28"/>
        </w:rPr>
        <w:tab/>
      </w:r>
      <w:proofErr w:type="gramStart"/>
      <w:r w:rsidRPr="002956F7">
        <w:rPr>
          <w:rFonts w:ascii="Times New Roman" w:eastAsia="ヒラギノ角ゴ Pro W3" w:hAnsi="Times New Roman" w:cs="Times New Roman"/>
          <w:noProof/>
          <w:color w:val="000000"/>
          <w:sz w:val="28"/>
          <w:szCs w:val="28"/>
        </w:rPr>
        <w:t>ФБУ «Российское технологическое агентство», АО «Военно-инженерная корпорация», ПАО «Сибур-Холдинг» (Москва), АО «Концерн ВКО «Алмаз-Антей» (Москва), АО «СДС Азот» (Кемерово), ОАО «Корпорация «Росхимзащита» (Тамбов)ГК «Ростехнологии», ГК «Фармконтракт» (медицинское приборостроение и фармация), ОАО »Информационные спутниковые системы» имени академика М.Ф.Решетнева», ОАО «Объединенные машиностроительные заводы», ОАО «ОПК «Оборонпром», ОАО «Объединенная авиастроительная корпорация», ОАО «РусГидро», ФНПЦ Алтай;</w:t>
      </w:r>
      <w:proofErr w:type="gramEnd"/>
      <w:r w:rsidRPr="002956F7">
        <w:rPr>
          <w:rFonts w:ascii="Times New Roman" w:eastAsia="ヒラギノ角ゴ Pro W3" w:hAnsi="Times New Roman" w:cs="Times New Roman"/>
          <w:noProof/>
          <w:color w:val="000000"/>
          <w:sz w:val="28"/>
          <w:szCs w:val="28"/>
        </w:rPr>
        <w:t xml:space="preserve"> </w:t>
      </w:r>
      <w:proofErr w:type="gramStart"/>
      <w:r w:rsidRPr="002956F7">
        <w:rPr>
          <w:rFonts w:ascii="Times New Roman" w:eastAsia="ヒラギノ角ゴ Pro W3" w:hAnsi="Times New Roman" w:cs="Times New Roman"/>
          <w:noProof/>
          <w:color w:val="000000"/>
          <w:sz w:val="28"/>
          <w:szCs w:val="28"/>
        </w:rPr>
        <w:t>ФГУП «Научно-производственное объединение по медицинским иммунобиологическим препаратам «Микроген», ОАО «Концерн «Моринформсистема - Агат», ОАО «КАМАЗ», ЗАО «НПФ «МИКРАН», ОАО «Корпорация «Росхимзащита», «Газпром космические системы» (дистанционное зондирование земли и связь), «Dectris» (сенсоры для синхрофазотронов), «Старлайн» (интеллектуальные системы безопасности), ASB (образовательные технологии), «Элеси» (медицинское приборостроение), «Ангиолайн» (кардио стенты из никелида титана), «ArtLife» (биологически активные добавки и продукты питания), передовые подразделения крупных корпораций типа</w:t>
      </w:r>
      <w:proofErr w:type="gramEnd"/>
      <w:r w:rsidRPr="002956F7">
        <w:rPr>
          <w:rFonts w:ascii="Times New Roman" w:eastAsia="ヒラギノ角ゴ Pro W3" w:hAnsi="Times New Roman" w:cs="Times New Roman"/>
          <w:noProof/>
          <w:color w:val="000000"/>
          <w:sz w:val="28"/>
          <w:szCs w:val="28"/>
        </w:rPr>
        <w:t xml:space="preserve"> «Сибур».</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Томский государственный университет стал первым, кто ввел в практику, не имеющую аналогов в России форму вовлечения высокотехнологичных организаций в процессы управления университетом – Совет промышленных партнеров. В Состав Совета промышленных партнеров вошли: </w:t>
      </w:r>
      <w:proofErr w:type="gramStart"/>
      <w:r w:rsidRPr="002956F7">
        <w:rPr>
          <w:rFonts w:ascii="Times New Roman" w:eastAsia="ヒラギノ角ゴ Pro W3" w:hAnsi="Times New Roman" w:cs="Times New Roman"/>
          <w:noProof/>
          <w:color w:val="000000"/>
          <w:sz w:val="28"/>
          <w:szCs w:val="28"/>
        </w:rPr>
        <w:t>Группа компаний «Миррико», АО «ГРЦ Макеева», АО «НПФ «Микран», ПАО «КАМАЗ», АО «Информационные спутниковые системы» им. академика М.Ф. Решетнёва», АО «Швабе», АО «Транснефть - Центральная Сибирь», ГК «Фармконтракт», ООО «Артлайф», ООО «Томлесдрев», АО «ТВЭЛ», АО «СКТБ Катализатор», АО «ЭлеСи», ООО «Томскнефтехим», АО «Сибирский химический комбинат», АО ФНПЦ «Алтай», ФГУП ФЦДТ «Союз», АО «Национальная иммунобиологическая компания», Фонд развития промышленности, ООО «НИОСТ</w:t>
      </w:r>
      <w:proofErr w:type="gramEnd"/>
      <w:r w:rsidRPr="002956F7">
        <w:rPr>
          <w:rFonts w:ascii="Times New Roman" w:eastAsia="ヒラギノ角ゴ Pro W3" w:hAnsi="Times New Roman" w:cs="Times New Roman"/>
          <w:noProof/>
          <w:color w:val="000000"/>
          <w:sz w:val="28"/>
          <w:szCs w:val="28"/>
        </w:rPr>
        <w:t>», ГК «Ростех», АО «НПП «Радиосвязь», ФГУП «РФЯЦ-ВНИИЭФ».</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Инжиниринговый центр ТГУ, в рамках предоставления государственной поддержки пилотных проектов по созданию и развитию инжиниринговых центров на базе образовательных организаций высшего образования Минобрнауки РФ на 2014-2016 гг, получил развитие и поддержку в размере 150 млн рублей, объем финансирования 2016 г. - 60 млн руб. Основные задачи центра – продвижение университетских разработок на рынок, проведение НИОКР для предприятий.</w:t>
      </w:r>
      <w:proofErr w:type="gramEnd"/>
      <w:r w:rsidRPr="002956F7">
        <w:rPr>
          <w:rFonts w:ascii="Times New Roman" w:eastAsia="ヒラギノ角ゴ Pro W3" w:hAnsi="Times New Roman" w:cs="Times New Roman"/>
          <w:noProof/>
          <w:color w:val="000000"/>
          <w:sz w:val="28"/>
          <w:szCs w:val="28"/>
        </w:rPr>
        <w:t xml:space="preserve"> Среди предприятий-партнеров ИХТЦ такие гиганты как: «СИБУР», крупнейший химический завод в Кемерово КАО «Азот», ФКП «Каменский», ООО «Новохим Трейдинг», ЗАО «Опытно-экспериментальный завод «ВладМиВа», ООО «Крезол», ЗАО НПФ «Микран» и другие.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рамках ППРФ 218 ТГУ совместно с промышленным партнёром ЗАО »ЭлеСи» продолжил работу над проектом по разработке отечественного высокотехнологичного программно-инструментального комплекса для реализации систем управления технологическими процессами на базе свободного программного обеспечения, выигранным в 2015 году. В проект будет вложено более 300 миллионов рублей, 50 процентов из них средства ЗАО »ЭлеСи».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С целью продвижения разработок на международные рынки, стимулирования роста и интернационализации малых предприятий вуза, ТГУ вошел в состав Международной ассоциации научных парков (International Association of Science Parks, IASP), формирующей всемирную сеть наиболее активных и значимых инкубаторов, технопарков и научных парков мира. Для выхода на азиатские рынки заключено соглашение о сотрудничестве с PlaTCOM Ventures Sdn Bhd (Малайзия).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Также ТГУ стал региональным партнером акселератора GenerationS.  Стартап-акселератор GenerationS считается наиболее крупным в России и Восточной Европе. По его итогам лучшие проекты получат финансовую поддержку от РВК и партнеров акселератора. Призовой фонд GenerationS-2016 составит 15 млн рублей, общая стоимость призов от партнеров превысит 100 млн.</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ТГУ стал одним из лидеров первого в  России мониторинга эффективности инновационной деятельности университетов, заняв третью строку в списке лучших вузов. В ТГУ реализуется 34 программы инновационно-предпринимательской направленности, соглашения о сотрудничестве в инновационной сфере университет имеет с сотней компаний, на балансе университета стоит 659 объектов интеллектуальной собственности.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Было заключено 2 лицензионных соглашения с компанией Dectris (Баден, Швейцария) на право пользования двумя объектами коммерческой тайны (ноу-хау) в области полупроводниковых материалов и изделий на сумму 147,5 млн рублей (33,4 млн в 2016 году). Кроме того, выполнялись и прямые поставки полупроводниковых детекторов рентгеновских излучений по заказам ведущих исследовательских центров на общую сумму 24,6 млн рублей.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Для эффективного развития инновационной экосистемы (инфраструктуры), формирования предпринимательской культуры и инновационно-предпринимательского трека в образовании по итогам кадрового аудита структурных подразделений Томского государственного университета, реализующих образовательные программы в области экономики и управления,  при участии Корпоративного университета Сбербанка был создан Институт экономики и менеджмента (далее - ИЭМ). Задача института – стать ведущим центром экономического и управленческого образования за Уралом. Этому способствуют результаты подготовительной работы, которую университет вел в течение предыдущих лет.  Сейчас ТГУ среди партнеров ТГУ, такие компании как: «Сбербанк», международные компании «EY», «KPMG» и другие. Партнером института является ассоциация АССА, проводившая профессиональную аккредитацию магистерской программы «Финансы и учет в организациях», по результатам которой она получила международный знак качества.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ИЭМ построен в соответствие с передовыми международными стандартами и  включает в себя: бизнес-инкубатор, отдел трансфера технологий. К 2020 году Институт должен стать ведущей школой управления в Северной Евразии и выполнять роль координатора инновационной экосистемы – хаба трансфера высоких технологий, ориентированного на рынки Центральной и Юго-восточной Азии. Бакалаврские и магистерские программы нового института соответствуют международным стандартам.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Управление образовательным процессом в ИЭМ строится по образовательным программам. В качестве ведущей образовательной технологии выбрано проблемно- ориентированное обучение (PBL). В течение трех лет предполагается внедрение данной технологии на уровне бакалавриата и магистратуры (совместно с университетом Маастрихта) и формирование Центра компетенции в области PBL мирового уровня. Данный шаг позволит осуществить диссеминацию опыта на российскую систему образования (например, опорные вузы) и осуществлять передачу технологий в регионе Северной Евразии на коммерческой основе. К характеристикам PBL можно отнести ориентацию на личность, организацию процесса обучения вокруг проблемы, большую долю самостоятельной работы по получению необходимых для решения проблемы знаний, а также направленность на работу в небольших группах, где преподаватель выступает в качестве модератора.  В ноябре 2016 года в ТГУ работала делегация Университета Маастрихта (Голландия). Основная цель визита – трансфер проблемно ориентированного обучения – PBL-технологий (Problem-based Learning) – в образовательную практику ТГУ. Голландские эксперты провели модельные занятия (тьюториалы) для студентов и сотрудников университета, а также обследование ряда факультетов, чтобы определить степень организационной готовности. Разработан план по совместной работе на ближайшие два года Томского государственного университета и Университета Маастрихта. Преподаватели и эксперты Университета Маастрихта будут осуществлять консалтинговые функции (очно и дистанционно), а также повышение квалификации и переподготовку преподавателей, инструкторов, тьюторов  для реализации PBL в ТГУ.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Реинжиниринг образования строился на базовых принципах </w:t>
      </w:r>
      <w:r w:rsidRPr="002956F7">
        <w:rPr>
          <w:rFonts w:ascii="Times New Roman" w:eastAsia="ヒラギノ角ゴ Pro W3" w:hAnsi="Times New Roman" w:cs="Times New Roman"/>
          <w:noProof/>
          <w:color w:val="000000"/>
          <w:sz w:val="28"/>
          <w:szCs w:val="28"/>
        </w:rPr>
        <w:br/>
        <w:t xml:space="preserve">образовательной деятельности ТГУ: интеграции науки и образования; индивидуализации образования и развитии талантов; интернационализации, и включает в себя: разработку новых подходов к содержанию, образовательным технологиям, администрированию учебного процесса.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Целевая модель выпускника университета – развитая личность, способная действовать поверх профессиональных границ и создающая новую технологическую и социальную реальность в области повышения качества жизни человека постиндустриального общества.</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Университет нацеливается на подготовку выпускника, способного к саморазвитию и улучшению сложившихся управленческих, социальных, технологических практик в условиях быстро меняющегося мира и открытого будущего.</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Ключевые компетенции выпускника: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действовать в ситуации высокой неопределенности;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 xml:space="preserve">проблемно-центрированное мышление;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осуществление исследований в профессиональной деятельности;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 xml:space="preserve">способность к саморазвитию и лидерству;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общекультурные.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Для реализации политики, обеспечивающей формирование индивидуальных образовательных траекторий студентов продолжено внедрение  кампусных курсов – лекций и семинаров по различным направлениям подготовки, которые могут изучать студенты любых факультетов в дополнение к своим основным образовательным программам.</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Каталог кампусных курсов представлен на сайте ТГУ (www.cdeq.tsu.ru/courses) и включает 118 дисциплин, в том числе курсы от работодателей и курсы на английском языке. В 2016 году 1592 студента ТГУ и сторонних слушателя обучались на  кампусных курсах ТГУ.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По итогам реализации проекта кампусных курсов была проведена разработка и апробация критериев стандарта качества ТГУ, с учетом реализации индивидуальной образовательной траектории в рамках укрупнённых направлений подготовки и групп специальностей.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При поддержке выпускников университета и ОАО «Газпромбанк» сформированный стипендиальный фонд  «Поддержка образования в области искусства и культуры в ТГУ». Стипендия направлена на поддержку талантливых студентов института искусств и культуры ТГУ, обучающихся на платной основе.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Высокое качество образования подтверждено международной и общественно-профессиональной аккредитацией. В 2016 году аккредитацию прошли  6 магистерских программ. По ряду сложных междисциплинарных программ планируется объединение магистерского и аспирантского трека и создание 5 летних программ PhD.</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Для продвижения образовательного контента университета в мировое образовательное пространство в мае 2015 г. подписано Соглашение о сотрудничестве с американской МООС-платформой Coursera, на которой  размещено 23 МООС ТГУ. Разработаны и размещены в медиатеке просветительского проекта «Лекториум» (www.lektorium.tv/mooc) 2 массовых открытых онлайн курса ТГУ на русском языке: «Удивительный мир географии», «Теория вероятностей – наука о случайности». Разработан и размещен в медиатеке европейской МООС-платформы iversity онлайн курс «Genius. Talent. Golden Mediocrity». В марте 2016 г. делегация ТГУ участвовала в международной партнерской конференции Coursera в Гааге, в рамках которой обсудила вопросы дальнейшего развития сотрудничества университета с платформой Coursera, а также вопросы позиционирования, маркетинга и продвижения открытых онлайн-курсов ТГУ в международном образовательном пространстве. Благодаря введенному в сентябре 2015 г. Положению о зачете результатов освоения открытых онлайн-курсов в ТГУ, у студентов университета есть возможность использовать МООК в рамках освоения ООП, т.е. полностью освобождает студента от необходимости повторного изучения соответствующей дисциплины при условии включения онлайн-курса в перечень рекомендуемых факультетом или Советом ООП.</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Начиная с 2014 г. разработано 34 МООК (в том числе 4 курса на английском языке). </w:t>
      </w:r>
      <w:proofErr w:type="gramStart"/>
      <w:r w:rsidRPr="002956F7">
        <w:rPr>
          <w:rFonts w:ascii="Times New Roman" w:eastAsia="ヒラギノ角ゴ Pro W3" w:hAnsi="Times New Roman" w:cs="Times New Roman"/>
          <w:noProof/>
          <w:color w:val="000000"/>
          <w:sz w:val="28"/>
          <w:szCs w:val="28"/>
        </w:rPr>
        <w:t>В 2016 обучение на МООС ТГУ прошли более  93000 слушателей из 150 стран мира, 25% из которых иностранные граждане,из 80 стран мира, в том числе, из  Германии, Италии, США, Испании, Франции, Израиля, Нидерландов, Шотландии, Норвегии, Вьетнама, Болгарии, Польши, Чехии, Сербии, Венгрии, Греции, Тайваня, Китая, Индии, Казахстана, Узбекистана, Киргизии, Армении, Молдовы, Беларуси, Эстонии, Латвии, Украины, России.  55%  слушателей впервые услышали</w:t>
      </w:r>
      <w:proofErr w:type="gramEnd"/>
      <w:r w:rsidRPr="002956F7">
        <w:rPr>
          <w:rFonts w:ascii="Times New Roman" w:eastAsia="ヒラギノ角ゴ Pro W3" w:hAnsi="Times New Roman" w:cs="Times New Roman"/>
          <w:noProof/>
          <w:color w:val="000000"/>
          <w:sz w:val="28"/>
          <w:szCs w:val="28"/>
        </w:rPr>
        <w:t xml:space="preserve"> о ТГУ благодаря MOOK. В 2016 г. разработано 19 онлайн-курсов,  в том числе первая онлайн-специализация «Цифровой SMM-проект: виртуальная платформа для бизнес-коммуникаций», которая стартовала в мае 2016 г. на онлайн-платформе Coursera. Подписано также соглашение о сотрудничестве с ООО «Стэпик» об участии в совместной разработке и организации онлайн-обучения на МООК. В апреле 2016 г. Томский государственный университет провел III Сибирскую школу с международным участием «Массовые открытые онлайн-курсы: разработка, продвижение, применение».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 ТГУ стал победителем в международном </w:t>
      </w:r>
      <w:r w:rsidRPr="002956F7">
        <w:rPr>
          <w:rFonts w:ascii="Times New Roman" w:eastAsia="ヒラギノ角ゴ Pro W3" w:hAnsi="Times New Roman" w:cs="Times New Roman"/>
          <w:noProof/>
          <w:color w:val="000000"/>
          <w:sz w:val="28"/>
          <w:szCs w:val="28"/>
        </w:rPr>
        <w:br/>
        <w:t>конкурсе EdCrunch Awards в номинации «Лучшие практики МООК».</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в Томском государственном университете проведен набор в дистанционную магистратура по 6-ти программам:</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Управление социальными и образовательными инновациями;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Стратегии и технологии гуманитарного управления персоналом;</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Современные социально-гуманитарные технологии работы с молодежью;</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Филология в общем образовании;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Гуманитарная информатика;</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w:t>
      </w:r>
      <w:r w:rsidRPr="002956F7">
        <w:rPr>
          <w:rFonts w:ascii="Times New Roman" w:eastAsia="ヒラギノ角ゴ Pro W3" w:hAnsi="Times New Roman" w:cs="Times New Roman"/>
          <w:noProof/>
          <w:color w:val="000000"/>
          <w:sz w:val="28"/>
          <w:szCs w:val="28"/>
        </w:rPr>
        <w:tab/>
        <w:t>Информационные процессы и системы.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Информация о программах размещена на сайте ТГУ (http://tsu.ru/content/education/upr/magistratura/), сайте «Абитуриент» ТГУ (http://abiturient.tsu.ru/news/7197/, http://abiturient.tsu.ru/company/speciality/), сайте ИДО ТГУ (http://ido.tsu.ru/magistr/), а также на страницах социальных сетей.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В рамках формирования мультиязычной среды действуют три англоязычных клуба (более 500 участников), в том числе один открытый для горожан, развивается кампусная инфраструктура на английском языке, организовано тестирование сотрудников факультетов и служб на знание английского языка, реализуется программа обучения управленцев и сотрудников университета английскому языку, действуют центр академического письма, центр языковых компетенций, три центра перевода в области социогуманитарных, физико-математических, естественнонаучных дисциплин</w:t>
      </w:r>
      <w:proofErr w:type="gramEnd"/>
      <w:r w:rsidRPr="002956F7">
        <w:rPr>
          <w:rFonts w:ascii="Times New Roman" w:eastAsia="ヒラギノ角ゴ Pro W3" w:hAnsi="Times New Roman" w:cs="Times New Roman"/>
          <w:noProof/>
          <w:color w:val="000000"/>
          <w:sz w:val="28"/>
          <w:szCs w:val="28"/>
        </w:rPr>
        <w:t>. В 2016 году в Научной библиотеке начала работу лаборатория практики английского языка (English practice laboratory) для аспирантов и преподавателей ТГУ, где была возможность обсудить вопросы, связанные с письменным/устным английский языком с сотрудниками ТГУ – носителями языка.</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 в ТГУ были организованы 11 летних и зимних школ для студентов и аспирантов из ведущих зарубежных вузов.  Участниками краткосрочных образовательных программ стали студенты из 46 стран мира. Для обучения в летних и зимних школах в ТГУ были привлечены студенты из Наньянского  технологического университета (Сингапур), Университета Дарема (Великобритания), Университета Лидса (Великобритания), Университета Сассекса (Великобритания), Университета Сунь Ятсен (Китай),  Вроцлавского университет (Польша), Университета Вероны (Италия) и многих других. Тематика школ охватывала разнообразные предметные области: изучение русского языка и традиционной культуры, межкультурная коммуникация, социальное предпринимательство, менеджмент, науки о земле и информационные технологии.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 680 студентов ТГУ получили поддержку для участия в программах академической мобильности, студенты обучались и проходили тематические стажировки в 17 странах мира. По итогам первого полугодия 2016 г. общее количество обучающихся ТГУ, принявших участие в международных мероприятиях, составило свыше 10 %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 xml:space="preserve">В 2016 году были разработаны и внедрены 11 совместных программ с зарубежными  университетами, всего велась реализация 57 совместных международных образовательных программ, на которых обучалось 166 студентов из 14 стран мира, в том числе, 15 международных образовательных программ, ведущих к получению двух дипломов, 26 обменных программ/программ включенного обучения и 7 совместных PhD программ. </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ТГУ в числе первых университетов в России принял участие в программе Tempus. В настоящее время в Томском университете ведется работа по пяти проектам, действует программа двойных магистерских дипломов со Свободным университетом Брюсселя. Три проекта Tempus, которые ТГУ осуществляет совместно с зарубежными партнерами, прошли мониторинг международных экспертов.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этом году ТГУ успешно прошел сертификацию и получил лицензию на проведение международного экзамена по английскому языку TOEFL iBT. Сотрудники Научной библиотеки и Управления международных связей получили право администрировать тесты от компании-разработчика экзамена ETS (США). Центр тестирования начнет работу уже осенью.</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Для эффективного рекрутинга иностранных студентов и абитуриентов Томский университет вошел в институциональное партнерство, поддержанное европейской программой грантов ERASMUS+. Международный проект, носящий образовательный характер, рассчитан на три года, сумма гранта составила 996,5 тысяч евро.</w:t>
      </w:r>
      <w:proofErr w:type="gramEnd"/>
      <w:r w:rsidRPr="002956F7">
        <w:rPr>
          <w:rFonts w:ascii="Times New Roman" w:eastAsia="ヒラギノ角ゴ Pro W3" w:hAnsi="Times New Roman" w:cs="Times New Roman"/>
          <w:noProof/>
          <w:color w:val="000000"/>
          <w:sz w:val="28"/>
          <w:szCs w:val="28"/>
        </w:rPr>
        <w:t xml:space="preserve"> В партнерстве принимают участие ряд сибирских и казахстанских вузов, европейские университеты, а также институты РАН и водохозяйственные организации.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году продолжает активно развиваться система грантовой поддержки иностранных студентов. «TSU international students grant» создан для привлечения в ТГУ талантливых студентов из зарубежных стран, а также содействия формированию мультикультурной научно-образовательной среды.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Продолжила свою работу служба сопровождения  иностранных обучающихся, поддержка иностранных студентов осуществлялась на следующих иностранных языках: английский, китайский, немецкий, итальянский, арабский. Продолжилось расширение деятельности волонтеров из студенческой среды, buddy program, работа на постоянной основе клубов разговорного английского, иврита, арабского, китайского и японского языков.</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рамках реализации мероприятий по интернационализации аспирантуры созданы и реализуются  7 программ аспирантуры на английском языке. С 2016 года обучающимся ТГУ предоставлена возможность подготовки и защиты научно-квалификационной работы (диссертации) с последующим присуждением ученой степени Томского государственного университета PhD TSU. Также в рамках реализации проекта «Интернационализация аспирантуры/ PhD и докторантуры» был проведен традиционный  конкурс грантов  «PhD Scholarship TSU» для иностранных граждан для обучения в аспирантуре ТГУ в 2016-2017 учебном году. </w:t>
      </w:r>
      <w:proofErr w:type="gramStart"/>
      <w:r w:rsidRPr="002956F7">
        <w:rPr>
          <w:rFonts w:ascii="Times New Roman" w:eastAsia="ヒラギノ角ゴ Pro W3" w:hAnsi="Times New Roman" w:cs="Times New Roman"/>
          <w:noProof/>
          <w:color w:val="000000"/>
          <w:sz w:val="28"/>
          <w:szCs w:val="28"/>
        </w:rPr>
        <w:t xml:space="preserve">В ТГУ обучается 107 иностранных аспиранта из таких стран как Египет, Иран, Саудовская Аравия, Алжир, Пакистан, Танзания, Индия, Вьетнам, Китай, Монголия, Италия, Польша, Йемен, Бангладеш, Лаос. </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Общее количество иностранных обучающихся по очной форме обучения составило 1772 человека, доля иностранных студентов, обучающихся по основным образовательным программам, в общем числе студентов – 15,01%.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Для поддержки иностранных студентов и аспирантов в структуре международного управления создан отдел адаптации иностранных студентов. В 2016 году более 150 студентов совместных образовательных программ из университетов - партнеров успешно прошли обучение русскому как иностранному, а также приняли участие в олимпиадах и конкурсах по русскому языку как иностранному.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Для комплексного обучения русскому языку и дальнейшего поступления на бакалавриат / магистратуру университета был открыт Факультет довузовской подготовки, который осуществляет работу в двух режимах: обучение русскому как иностранному и подготовку кандидатов по гуманитарному (история) и естественно-научному (математика) профилю для последующей сдачи вступительных экзаменов и обучения в университете на бакалавриате / в магистратуре.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С целью более раннего выявления способных абитуриентов, ориентированных на исследовательскую деятельность, и формирования «своего, целевого абитуриента» (в соответствии с целевой моделью) университет реализует сетевые проекты с системой общего образования Томской области и СФО, создана сеть партнёров ТГУ, в которую вошли Региональный центр развития образования, межмуниципальные центры по развитию одаренности (9 ММЦ Томской области) Департамент общего образования Томской области, 32 образовательные</w:t>
      </w:r>
      <w:proofErr w:type="gramEnd"/>
      <w:r w:rsidRPr="002956F7">
        <w:rPr>
          <w:rFonts w:ascii="Times New Roman" w:eastAsia="ヒラギノ角ゴ Pro W3" w:hAnsi="Times New Roman" w:cs="Times New Roman"/>
          <w:noProof/>
          <w:color w:val="000000"/>
          <w:sz w:val="28"/>
          <w:szCs w:val="28"/>
        </w:rPr>
        <w:t xml:space="preserve"> организации, имеющие статус региональных центров внедрения инноваций, школы – экспериментальные площадки ТГУ по разработке и реализации совместных программ профильного обучения (100 школ), методические службы муниципальных образований.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 в Интернет-лицее ТГУ на основе дистанционных технологий ведется обучение по 115 программам, по которым обучались 1011 школьников из более 40 регионов России, а также Казахстана, Ирана и Великобритании, а также проводятся научные, научно-популярные и творческие мероприятия со школьниками.  Действует пять дистанционных школ для развития одаренных детей. К участию в проектах и акциях на школьном портале ТГУ привлечено свыше 6437 школьников.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 в рамках Соглашения с Администрацией Томской области и Томским политехническим университетом о совместной деятельности в рамках Совета по развитию образовательного пространства региона ТГУ предложил в качестве ключевого проект «Создание условий для реализации старшеклассниками индивидуальных образовательных траекторий в проектно-исследовательской деятельности». В течение учебного года школьники имели возможность с помощью консультантов из числа студентов и преподавателей факультетов реализовать проект или исследование.  Преподавателями университета, разработаны  задания разного уровня сложности: информационно-поисковые, аналитические и проектные по междисциплинарным направлениям: «Природа», «Общество», «Человек», «Техника», «Культура». Пакеты заданий выложены на школьном портале ТГУ «Университетский проспект», который является площадкой для реализации школьниками своих инициатив, знакомства с деятельностью факультетов, научных лабораторий, центров превосходства, представления ресурсов университета для реализации образовательной траектории.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Для координации совместной работы со школами и усиления роли  университета в  региональной системе образования в муниципалитетах организованы «Открытые университетские классы». В Открытом университетском классе старшеклассники  принимают участие в учебных курсах и занятиях по профильным направлениям, в метапредметных курсах, тренингах и практикумах по освоению норм проектной и исследовательской деятельности, развитию коммуникативных, лидерских компетенций и предприимчивости.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Созданная интерактивная среда школьный портал «Университетский проспект»  для поддержки индивидуальной и командной деятельности школьников при реализации проектной и исследовательской деятельности систематически использовалась в образовательном процессе 250 педагогов Томской области, СФО, СНГ для 786 учащихся старших классов.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 В апреле 2016 года прошла ежегодная конференция школ-партнеров ТГУ.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феврале 2016 года в ТГУ прошла XX юбилейная Международная научно-практическая тьюторская конференция «Многообразие и индивидуализация как возможность становления образовательной культуры». Участники провели анализ практик индивидуализации образования, подвели итоги 25-летнего этапа тьюторского движения в России и обсудили с экспертами из Германии, Голландии и Белоруссии, представителями педагогических систем М. Монтессори и Вальдорфской педагогики, Кристофом Йоханнсеном, Сандрой Вейенстра и Александром Полонниковым, основания для проектирования образовательной модели университета мирового класса.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Стратегия интернационализации ТГУ, которая была разработана с участием консалтинговой группы QS, основана на создании мультикультурной среды в университете, активном участии ТГУ в ассоциациях и партнёрствах, кооперации с зарубежными центрами исследования и образования.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 ТГУ вошел в состав Европейской ассоциации университетов непрерывного образования EUCEN, насчитывающей более чем 180 членов из 36 стран. ТГУ стал одним из четырех российских университетов, присоединившихся к этой организации.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 Университет, как член престижной международной организации UArctic, принял участие в Арктической научной неделе в университете города Фэйрбэнкс (Аляска, США) (Arctic Science Summit Week).</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Также университет является участником  крупнейшего в мире объединения технопарков Международной ассоциации научных парков (International Association Science Park and Areas of Innovation – IASP), координатором Ассоциации российско-индийских университетов.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ТГУ продолжает деятельность как координатор Конференции ректоров итальянских вузов Ассоциации «Глобальные университеты». Инициатива направлена на привлечение итальянских студентов на программы различной длительности и статуса, на выявление лучших практик и обмен опытом. В 2016 г. делегация ТГУ приняла участие в семинаре рабочей группы Конференции ректоров университетов Италии (CRUI) и ассоциации «Глобальные университеты» (АГУ). Встреча была подготовлена сотрудниками Туринского университета и ТГУ, являющегося координатором рабочей группы от ассоциации. Кроме того, в ней приняли участие представители ВШЭ, ИТМО, МИСиС, ННГУ им. Лобачевского, УРФУ и НГУ. Итальянскую сторону, помимо Туринского университета, представляли Университет Sacro Cuore (Милан), Миланский политехнический университет, Университет Tor Vergata, L'Orientale (Неаполь), Университет Сиены, Туринский политехнический университет.</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апреле 2016 года был подписан Меморандум о взаимопонимании по созданию Евразийского сетевого университета (ЕСУ). Инициаторами его создания стали ТГУ, МГУ и СПбГЭУ, они же разработали модель развития ЕСУ. Подписание прошло на встрече представителей ведущих университетов государств – членов Евразийского экономического союза (ЕАЭС) – Республики Казахстан, Кыргызской Республики, Республики Беларусь и других.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ноябре 2016 года Томский государственный университет провел в Индии международный форум «Российское образование как пространство возможностей».  Форум прошел при поддержке Ассоциации университетов России и Индии, которая была создана в 2015 году. Координаторами ассоциации являются Томский государственный университет и Индийский технологический институт Бомбея. На базе Томского государственного университета планируется создать площадку международной кооперации вузов России и стран Юго-Восточной Азии для обмена опытом.</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2016 г. в университете проведено 80 международных мероприятий, университет посетили 23 иностранных делегаций, свыше 150 зарубежных руководителей университетов, ученых, преподавателей, политиков, дипломатов, администраторов.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с целью привлечения студентов из ведущих иностранных университетов продолжалась работа, направленная на рекрутирование зарубежных абитуриентов и студентов ведущих университетов мира для обучения в Томском государственном университете.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Для  привлечения  потенциальных абитуриентов ТГУ на 2017-2018 учебный год Томский государственный университет принимал участие в образовательных выставках: EAIE-2016 (г. Ливерпуль, Великобритания), China Educational EXPO (Китай), «Российская образовательная выставка-2016» (Монголия), Education &amp; Training Expo-2016 (Индонезия), Вузы России (Вьетнам и Лаос).  </w:t>
      </w:r>
      <w:proofErr w:type="gramStart"/>
      <w:r w:rsidRPr="002956F7">
        <w:rPr>
          <w:rFonts w:ascii="Times New Roman" w:eastAsia="ヒラギノ角ゴ Pro W3" w:hAnsi="Times New Roman" w:cs="Times New Roman"/>
          <w:noProof/>
          <w:color w:val="000000"/>
          <w:sz w:val="28"/>
          <w:szCs w:val="28"/>
        </w:rPr>
        <w:t>Для рекрутинга иностранных обучающихся представители университета провели ряд выездных мероприятий в таких странах, как Китай (посещение Шеньянского политехнического университета, Даляньского университета иностранных языков, Даляньского университета экономики и финансов); Лаос (Национальный университет Лаоса), Вьетнам (посещение ведущих школ Северного, Центрального и Южного Вьетнама с изучением русского языка); Индонезия (посещение Института технологий Сепулух Нопембер, Университета Паджаджаран, Университета Удаяна, Университета Гаджа Мада).</w:t>
      </w:r>
      <w:proofErr w:type="gramEnd"/>
      <w:r w:rsidRPr="002956F7">
        <w:rPr>
          <w:rFonts w:ascii="Times New Roman" w:eastAsia="ヒラギノ角ゴ Pro W3" w:hAnsi="Times New Roman" w:cs="Times New Roman"/>
          <w:noProof/>
          <w:color w:val="000000"/>
          <w:sz w:val="28"/>
          <w:szCs w:val="28"/>
        </w:rPr>
        <w:t xml:space="preserve"> Доля иностранных студентов, обучающихся по основным образовательным программам, в общем числе студентов увеличилась до 15,01% (10,8 в 2013 году).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мае 2016 года прошла международная конференция с участием ректоров «Опыт национальных программ академического превосходства», приуроченная к 138-му дню рождения ТГУ. Для участия в конференции в Томск прибыли делегации из университетов Китая, Индии, Великобритании, США, Малайзии, Вьетнама и других стран мира. В программу «Глобальное образование» на длительное обучение в ведущих зарубежных университетах представлено 20 кандидатов, 7 из них были одобрены и уже проходят обучение, в том числе в университете Маастрихта (Нидерланды) и Медицинском Центре Лейденского Университета (Нидерланды).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были заключены договора с 22 ведущими университетами, в том числе, с Наньянским технологическим университетом, Сингапур (QS-13), Университетом Лейдена, Нидерланды (QS-102), Эколь Политекник, Франция (QS-53).</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 в программах мобильности участвовали 1021 сотрудников ТГУ, в том числе 42 % - молодые сотрудники (432 сотрудник ТГУ), которые прошли 254 стажировки, в том числе 146 стажировок в России и 108 стажировок за рубежом; а также приняли участие в 767 конференциях (в том числе 616 научных конференций), в том числе 579 конференций в России и 188 конференций за рубежом. Изучение и освоение научно-педагогическим и административным персоналом во время стажировок лучших организационных практик и их использование является одним из ресурсов обновления процедур управления и повышения его эффективности.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общей сложности стажеры посетили 38 стран, в том числе: </w:t>
      </w:r>
      <w:proofErr w:type="gramStart"/>
      <w:r w:rsidRPr="002956F7">
        <w:rPr>
          <w:rFonts w:ascii="Times New Roman" w:eastAsia="ヒラギノ角ゴ Pro W3" w:hAnsi="Times New Roman" w:cs="Times New Roman"/>
          <w:noProof/>
          <w:color w:val="000000"/>
          <w:sz w:val="28"/>
          <w:szCs w:val="28"/>
        </w:rPr>
        <w:t>Австрия, Армения, Бельгия, Болгария, Великобритания, Венгрия, Германия, Греция, Дания, Израиль, Ирландия, Испания, Италия, Казахстан, Канада, Китай, Лаос, Мальта, Нидерланды, Норвегия, Объединенные Арабские Эмираты, Польша, Португалия, Республика Беларусь, Республика Корея, Польша, Республика Мальта, Сербия, Черногория, Словакия, США, Тайвань, Франция, Чехия, Швейцария, Швеция, Эстония, Япония.</w:t>
      </w:r>
      <w:proofErr w:type="gramEnd"/>
      <w:r w:rsidRPr="002956F7">
        <w:rPr>
          <w:rFonts w:ascii="Times New Roman" w:eastAsia="ヒラギノ角ゴ Pro W3" w:hAnsi="Times New Roman" w:cs="Times New Roman"/>
          <w:noProof/>
          <w:color w:val="000000"/>
          <w:sz w:val="28"/>
          <w:szCs w:val="28"/>
        </w:rPr>
        <w:t xml:space="preserve">  Изучение и освоение научно-педагогическим и административным персоналом во время стажировок лучших исследовательских, образовательных и организационных практик и их использование является одним из ресурсов обновления деятельности и повышения ее эффективности.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Концентрация и управление талантами с исследовательским потенциалом и мотивацией к саморазвитию основывалась на создании привлекательной внутренней среды нацелено на привлечение и удержание ведущих научно-педагогических работников, в том числе и из ведущих зарубежных университетов. В 2016 г. в центры превосходства, лаборатории, учебные подразделения трудоустроено 127 зарубежных ученых и ведущих специалиста. Для привлечения молодых научно-педагогических работников, в том числе и из ведущих зарубежных университетов, к проведению научных исследований в лабораториях и чтению учебных курсов на английском языке, проведен открытый международного конкурса на получение грантов молодыми НПР, трудоустроено 15 постдоков. Осуществляется программа адаптации, включающая в себя помощь при трудоустройстве и продлении виз для иностранных специалистов, проведение официальных и неформальных встреч, обучение русскому языку, бытовое сопровождение иностранных постдоков.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Задачи данного этапа направлены  на профессионализацию управления, вовлечение персонала в процессы трансформации и управления университетом, развитием матричной модели управления с сочетанием элементов shared governance; развитие внутренних коммуникаций; изменение организационной культуры.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Профессионализация управленческих позиций в 2016 году достигнута путем привлечения ведущих зарубежных и отечественных специалистов, повышения квалификации и профессиональной переподготовки персонала, стажировок для изучения лучших практик университетского управления, консалтинговым и аналитическим сопровождением управленческих практик, системой эффективных контрактов управленцев, ротацией кадров, формированием кадрового резерва управленческого персонала, нацеленного на реализацию организационных проектов по программе повышения конкурентоспособности.</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Проводится сравнительный анализ лучших мировых практик университетского управления. Представители команды руководителей университета посетили ряд университетов Китая, Японии, Тайваня, Лаоса и Великобритании. В июне делегация университета во главе с ректором изучала лучшие практики университетского управления в Нидерландах в Университете Маастрихта, Дюссельдорфа. Итогом этих встреч стало продление договоров о сотрудничестве, подготовка предложений по расширению сотрудничества в предметных областях, создание системы подготовки, включая онлайновую и новые проекты.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марте 2016 году прошел симпозиум «Модели университетов в российской системе образования. Его участниками стали ректоры ведущих университетов и представители министерства.</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Также в начале 2016 года на базе ТГУ прошел форум «Образование будущего для Национальной технологической инициативы» (НТИ), участие в котором приняли эксперты Агентства стратегических инициатив, представители образовательных треков НТИ, педагоги дополнительного образования Томска и Томской области, сотрудники вузов и родители.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декабре 2016 года в ТГУ прошло первое совещание проекта «Вузы как центры пространства создания инноваций». В совещании принимали участие заместитель министра образования и науки Людмила Огородова, представители администрации Томской области, руководители сибирских и азиатских университетов. Организационно-техническим оператором проекта стал Томский государственный университет.</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Экспертами школы управления СКОЛКОВО (руководитель А.Е. Волков) проведены 5 стратегических сессий, организована постоянная работа тематических групп, с участием ключевых руководителей, лидеров научно-педагогических коллективов, молодых преподавателей и исследователей, представителей обучающихся (более 400 человек), направленных на развитие системы поддержки качества и сервисов университета, формирование политик и механизмов ее реализации.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Реализуется программа повышения управленческих компетенций руководителей университета. Реализуется проект под руководством О.Б. Алексеева, эксперта в области управления изменениями. В течение 2016 года было проведено 11 семинаров. Проект, направлен на трансформацию организационной культуры ТГУ, на снижение административных барьеров, развитие средств внутренней коммуникации, повышение эффективности организационных мероприятий, корректировку стилей взаимодействия руководства ТГУ со структурными подразделениями.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Для формирования внутренней мотивации научно-педагогических работников создается инновационно-активная среда, поддерживающая процесс управления изменениями на постоянной основе. Ориентация на профессионализацию управления сочетается с вовлечением основного персонала в обсуждение ключевых решений и вовлечение в выполнение проектов Программы. За 2016 год в  ключевых коммуникационных мероприятиях, встречах с сотрудниками подразделений, лабораторий, стратегических сессиях, открытых заседаниях совета, открытых семинарах принимало участие свыше 1500 сотрудников, участие в проектах программы принимают свыше 900 сотрудников.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рамках проекта «Создание инновационно-активной среды, поддерживающей процесс управления изменениями на постоянной основе» для решения задачи используются  также такие формы вовлечения сотрудников как открытые семинары по проектированию изменений; организация работы проектных, аналитических и экспертных групп в подразделениях; открытые экспертно-аналитические семинары с привлечением внешних экспертов и консультантов; обучающие семинары и программы в области инноваций в образовании, науке и управлении в университете, встречи сотрудников с руководством университета.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Всего за отчетный период было проведено более 170 мероприятий, связанных с реализацией Программы повышения международной конкурентоспособности. Кроме того, стимулирование и активизация инновационной активности НПР осуществляется через конкурсные/грантовые механизмы, а также через формирование и распространение банка инициатив сотрудников ТГУ по ключевым направлениям развития. В 2016 году проведен третий грантовый конкурс, из 30  поданных заявок поддержано и реализуются 17 проектов, направленных на распространение лучших практик организации образования и научно-исследовательской деятельности. Начиная с 2013 года, было реализовано более 60 инициативных проектов, общее количество участников проектов более 1500 сотрудников и обучающихся ТГУ.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Электронная версия Карты инициативной среды заполняется информацией о текущих проектах ВИУ, мероприятиях и участниках (http://innomap.tsu.ru/). В 2016 г. Выпущен «Дайджест инициативных проектов», описывающий результаты и перспективы уже реализованных проектов. Издан печатный вариант дайджеста, электронная версия размещена по ссылке http://innomap.tsu.ru/UploadFiles/12978.pdf . В 2017 году планируется вывести Банк инициатив ТГУ на городской уровень, чтобы подключить регион к созданию и оценке новых идей.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С целью анализа процессов изменений в ТГУ и их исследовательского сопровождения реализуется проект «Разработка и реализация программы аналитического сопровождения управления изменениями». В рамках реализации этой программы, формирования модели университета в условиях экономики знаний и уточнения целевой модели ТГУ П.Г. Щедровицким проведена серия вебинаров «Как адаптироваться к Третьей промышленной революции и извлечь из этого хоть какие-то выгоды».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Одним из способов вовлечения сотрудников стало участие в мероприятиях по формированию кадрового резерва научно-педагогических работников, административно-управленческого персонала на принципах управления талантами. </w:t>
      </w:r>
      <w:proofErr w:type="gramStart"/>
      <w:r w:rsidRPr="002956F7">
        <w:rPr>
          <w:rFonts w:ascii="Times New Roman" w:eastAsia="ヒラギノ角ゴ Pro W3" w:hAnsi="Times New Roman" w:cs="Times New Roman"/>
          <w:noProof/>
          <w:color w:val="000000"/>
          <w:sz w:val="28"/>
          <w:szCs w:val="28"/>
        </w:rPr>
        <w:t>В рамках программ развития кадрового резерва руководящего состава и научно-педагогического кадрового резерва разработаны индивидуальными программы развития, проведен ряд мероприятий по развитию компетенций, в числе которых лекции и семинары, посвященные публикационной активности современных ученых, мероприятия по развитию управленческих компетенций, занятия по обучению английскому языку, а также обеспечено участие резервистов в стратегических мероприятиях университета.</w:t>
      </w:r>
      <w:proofErr w:type="gramEnd"/>
      <w:r w:rsidRPr="002956F7">
        <w:rPr>
          <w:rFonts w:ascii="Times New Roman" w:eastAsia="ヒラギノ角ゴ Pro W3" w:hAnsi="Times New Roman" w:cs="Times New Roman"/>
          <w:noProof/>
          <w:color w:val="000000"/>
          <w:sz w:val="28"/>
          <w:szCs w:val="28"/>
        </w:rPr>
        <w:t xml:space="preserve"> Программа координируется с аналогичными проектами и программами ведущих российских университетов в рамках сетевого взаимодействия университетов Ассоциации «Глобальные университеты».</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На базе ТГУ  10-12 ноября 2016 года проведена научно-практическая конференции «HR-тренд 2016: управление талантами и трансформация корпоративной культуры», которая была посвящена обсуждению вопросов поиска и развития талантливых сотрудников в ведущих российских университетах.  Главной целью мероприятия является создание сообщества исследователей и практиков, работающих в области развитию сотрудников с высоким потенциалом.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Томский государственный университет стал единственным учебным заведением, получившим премию «SKOLKOVO Trend Award». Премией Московской школы управления СКОЛКОВО «SKOLKOVO Trend Award» эксперты отмечают лучшие проекты, реализованные корпоративными и государственными партнерами бизнес-школы. ТГУ получил награду за подготовку кадрового резерва вуза в рамках программы стратегического развития.</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Развивается система разделенного управления, в 2016 году продолжали функционировать 50 советов и комиссий по различным направлениям, в которые входило свыше 1100 человек из числа НПР и АУП. Созданы новые комиссии Ученого совета. Расширен состав управляющего комитета, в него дополнительно включены руководители центров превосходств, лабораторий, в заседаниях принимают участие деканы факультетов и директора институтов. В 2016 году состоялось 2 заседания Наблюдательного совета, на которых были приняты решения более чем по 20 вопросам.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Позиционирование и развитие коммуникаций университета выстраивалось  на основе целевой модели. Информационное сопровождение Программы направлено на вовлечение коллектива преподавателей, сотрудников и студентов в реализацию мероприятий программы, усиление корпоративного взаимодействия для достижения стратегических целей университета, формирование позитивного имиджа университета как ведущего центра науки, образования и инноваций. Активная информационная политика направлена на рост репутации и международное продвижение университета.</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На сайтах вузов-партнеров размещается информация о сотрудниках ТГУ, принявших участие в мероприятиях вуза, а также ссылки на сайт ТГУ. Презентационный сайт ТГУ ведется на трех языках – русском, английском, китайском. В 2016 году иностранная аудитория этих сайтов выросла на 46%.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Информация о ТГУ выходила в таких изданиях, как The Independent, The Sun, phys.org, Mirror, Saberian Tames, Huffington Post UK, Science Daily, Daily Mail. Всего более 700 информационных сообщений.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Российские СМИ, среди которых издательский дом «Коммерсант», журнал «Эксперт», «Русский репортер», «Российская газета», «Ведомости», агентство «Интерфакс» на своих ресурсах освещали такие темы как: разработка матричных детекторов из арсенида галлия, кластер для ИТ-компаний, разработка лазеров широкого профиля, новые технологии управления и другие. Телевизионные сюжеты выходили на телеканалах «Russia Today», Первый канал, Россия 1, «5 канал», НТВ. Всего более 15 000 информационных сообщений.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ТГУ представлен в 7 социальных сетях: «В контакте» (24435 подписчиков), Facebook (2 969), Twitter (2 539), Instagram, Youtube, Google+ на русском и английском языках, а также в китайской соцсети QQ (более 2500 подписчиков). Открыт канал в набирающем популярность мессенджере Telegram (100 подписчиков). В целом за 2016 год рост активной аудитории в соцсетях составил около 12%. Сообщества ТГУ в социальных сетях часто упоминают Минобрнауки, проект «5-100», «Вести Наука»,»Study in Russia», партнеры и отраслевые СМИ.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Начал работу англоязычный Портал науки ТГУ, где размещается основная информация о приоритетных научных направлениях, ведущих лабораториях, исследователях, анонсы мероприятий, научные новости университета. В целях развития системы внутренних коммуникаций в разделе сайта «Слово ректору» (http://www.tsu.ru/university/rector_page/) отражаются, с точки зрения руководителя ТГУ, наиболее важные события в контексте изменений, происходящих в университете, – размещено 23 статьи и 124 новости на русском языке. В корпоративной газете «Alma mater» опубликован 101 материал о лучших исследовательских и образовательных практиках университета.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Реализовывался проект «Внутренние электронные коммуникации. Проект позволил развить мотивацию сотрудников к участию во внутренних электронных коммуникациях ТГУ в соответствии с современными корпоративными стандартами, способствовал созданию механизма получения обратной связи об отношении сотрудников ТГУ к изменениям в университете посредством внутренних электронных коммуникаций. Число подписчиков внутренней корпоративной рассылки выросло за год на 20%.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В рамках проекта организованы и проведены PR-акции, поддерживающие обсуждение Корпоративного кодекса ТГУ, «Корпоративная культура классического университета: роль в формировании профессиональной и личностной идентичности выпускника», «Создание инновационно-активной среды, поддерживающей процесс управления изменениями с целью формирования кадрового резерва руководящего состава ТГУ», «Создание в ТГУ англоязычной среды в целях привлечения студентов из ведущих иностранных университетов» и др.</w:t>
      </w:r>
      <w:proofErr w:type="gramEnd"/>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proofErr w:type="gramStart"/>
      <w:r w:rsidRPr="002956F7">
        <w:rPr>
          <w:rFonts w:ascii="Times New Roman" w:eastAsia="ヒラギノ角ゴ Pro W3" w:hAnsi="Times New Roman" w:cs="Times New Roman"/>
          <w:noProof/>
          <w:color w:val="000000"/>
          <w:sz w:val="28"/>
          <w:szCs w:val="28"/>
        </w:rPr>
        <w:t>В рамках проекта трансформации кампуса университета с целью создания современной  среды, ориентированной на новое содержание и технологии образования и междисциплинарное взаимодействие обучающихся, в 2016 году в Научной библиотеке ТГУ открылся зал для исследователей -  пространство, способствующего развитию совместной деятельности и проектной работы, а также научный центр «Сибирский институт будущего» (Trans-Siberian Scientific Way – TSSW), на базе которого сконцентрируются ведущие междисциплинарные исследования о</w:t>
      </w:r>
      <w:proofErr w:type="gramEnd"/>
      <w:r w:rsidRPr="002956F7">
        <w:rPr>
          <w:rFonts w:ascii="Times New Roman" w:eastAsia="ヒラギノ角ゴ Pro W3" w:hAnsi="Times New Roman" w:cs="Times New Roman"/>
          <w:noProof/>
          <w:color w:val="000000"/>
          <w:sz w:val="28"/>
          <w:szCs w:val="28"/>
        </w:rPr>
        <w:t xml:space="preserve"> регионе.</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проект преобразования кампуса закладывается идеология открытости, доступной среды, «умного», энергоэффективного и безопасного кампуса.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проведены благоустроительные работы прилегающих территорий университетского кампуса. Для решения задач в рамках мероприятия по разработке и внедрению проекта экокампуса в 2016 году продолжен проект по внедрению «третьих мест» - территорий для общения, работы в группах и коллективного творчества.</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на территории кампуса ТГУ были внедрены современные высокотехнологичные разработки в строительстве, реконструкции и дизайне с использованием качественно новых материалов. Модернизированы общественные места 6 студенческих общежитий ТГУ, отремонтированы учебные аудитории в 7 корпусах ТГУ. Проведены работы по капитальному ремонту, в частности были отремонтированы  29 учебных аудиторий, закуплены новые прачечные комплексы. Продолжаются работы по созданию дружественной среды, в нескольких корпусах установлены пандусы для обучающихся с ограниченными физическими возможностями.</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В 2016 году выполнены работы по увеличению производительности комплекса СОРМ ТГУ, разработаны мобильные приложения, работающие под управлением операционных систем MacOS и Android, для абитуриентов «ХочуВТГУ», для студентов, проживающих в общежитиях ТГУ «ТГУ.Helper», приложение для оценки качества предоставляемых образовательных и прочих услуг «ЯВТГУ».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Реализован комплекс мероприятий по модернизации системы корпоративных сервисов ТГУ с учетом внедрения мобильного университета:  модернизация единой службы корпоративных аккаунтов ТГУ,  модификация системы персональных страниц сотрудников ТГУ, разработаны и внедрены в образовательный процесс дисциплины по мобильной разработке приложений.</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 рамках реализации Третьей роли университета, проведены мероприятия, направленные на взаимодействие с местным сообществом, совершенствование научно-образовательной, социокультурной  среды города.  ТГУ проводит политику открытости для вовлечения в процессы университетской жизни местного сообщества. Обеспечен открытый доступ для жителей и гостей г. Томска к объектам инфраструктуры ТГУ: Научная библиотека, Ботанический сад, Центр Культуры (концерты Хоровой Капеллы ТГУ, Ансамбля скрипачей ТГУ, Джаз-оркестра «ТГУ-62»),  Спорткорпус ТГУ. При проведении акции «Ночь открытий ТГУ» музеи университета посетили более 5,5 тысяч горожан.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Продолжается просветительский проект «Открытый университет», развивающийся в рамках неформального обучения и способствующий развитию социального партнерства университета и росту его авторитета в г. Томске, по дополнительным общеразвивающим программам прошли обучение свыше 6000 горожан.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Выстроена система работы комплекса музеев и выставочных залов научной библиотеки ТГУ с разными сегментами музейной аудитории: дошкольниками, школьниками, студентами ТГУ и иных образовательных учреждений, гостями университета. В 2016 г. проведено 892 экскурсии, которые посетили свыше 23000 человек.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Данные мероприятия отражают реализацию  «третьей роли», предусматривающую  взаимодействие ТГУ с местным сообществом, бизнесом и властью. </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Результаты достигнутые в 2016 году, динамика выполнения Программы (количество публикаций в БД WoS и Scopus свыше 2500(увеличение в 5 раза с 2013 года), улучшение на 300 позиций в международном рейтинге QS World University Rankings 2016 с 2013 года) выражают новое качество развития ТГУ.</w:t>
      </w:r>
    </w:p>
    <w:p w:rsidR="002956F7" w:rsidRPr="002956F7" w:rsidRDefault="002956F7" w:rsidP="00152F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ascii="Times New Roman" w:eastAsia="ヒラギノ角ゴ Pro W3" w:hAnsi="Times New Roman" w:cs="Times New Roman"/>
          <w:noProof/>
          <w:color w:val="000000"/>
          <w:sz w:val="28"/>
          <w:szCs w:val="28"/>
        </w:rPr>
      </w:pPr>
      <w:r w:rsidRPr="002956F7">
        <w:rPr>
          <w:rFonts w:ascii="Times New Roman" w:eastAsia="ヒラギノ角ゴ Pro W3" w:hAnsi="Times New Roman" w:cs="Times New Roman"/>
          <w:noProof/>
          <w:color w:val="000000"/>
          <w:sz w:val="28"/>
          <w:szCs w:val="28"/>
        </w:rPr>
        <w:t xml:space="preserve">Доработанная целевая модель ТГУ, как современного классического университета, реализованная в управленческих политиках и механизмах, создает базу для устойчивого продвижения университета в мировом академическом сообществе, повышения эффективности его деятельности и международного признания его результатов. </w:t>
      </w:r>
    </w:p>
    <w:p w:rsidR="004A70B6" w:rsidRPr="00152FCC" w:rsidRDefault="004A70B6" w:rsidP="00152FCC">
      <w:pPr>
        <w:spacing w:line="240" w:lineRule="auto"/>
        <w:contextualSpacing/>
        <w:rPr>
          <w:sz w:val="28"/>
          <w:szCs w:val="28"/>
        </w:rPr>
      </w:pPr>
    </w:p>
    <w:sectPr w:rsidR="004A70B6" w:rsidRPr="00152FCC" w:rsidSect="00DF52AD">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82"/>
    <w:rsid w:val="00012E5A"/>
    <w:rsid w:val="0002140E"/>
    <w:rsid w:val="00023217"/>
    <w:rsid w:val="00052A5E"/>
    <w:rsid w:val="00054170"/>
    <w:rsid w:val="00065024"/>
    <w:rsid w:val="0006588A"/>
    <w:rsid w:val="00077393"/>
    <w:rsid w:val="000A01E1"/>
    <w:rsid w:val="000A60C0"/>
    <w:rsid w:val="000B7C4C"/>
    <w:rsid w:val="000D1237"/>
    <w:rsid w:val="000D301E"/>
    <w:rsid w:val="000D4EF4"/>
    <w:rsid w:val="000D61B0"/>
    <w:rsid w:val="000F08CA"/>
    <w:rsid w:val="000F0BD8"/>
    <w:rsid w:val="0012563F"/>
    <w:rsid w:val="00152FCC"/>
    <w:rsid w:val="0017180F"/>
    <w:rsid w:val="0019788D"/>
    <w:rsid w:val="001A2CD9"/>
    <w:rsid w:val="001A2D63"/>
    <w:rsid w:val="001D4296"/>
    <w:rsid w:val="001F6945"/>
    <w:rsid w:val="0020254B"/>
    <w:rsid w:val="00261C9C"/>
    <w:rsid w:val="002666FB"/>
    <w:rsid w:val="00281998"/>
    <w:rsid w:val="002956F7"/>
    <w:rsid w:val="002B03DD"/>
    <w:rsid w:val="002B5216"/>
    <w:rsid w:val="002F0F7A"/>
    <w:rsid w:val="003162D7"/>
    <w:rsid w:val="00322287"/>
    <w:rsid w:val="00350656"/>
    <w:rsid w:val="003600C8"/>
    <w:rsid w:val="00374FA9"/>
    <w:rsid w:val="00376A1B"/>
    <w:rsid w:val="00397551"/>
    <w:rsid w:val="003A08CC"/>
    <w:rsid w:val="003C4200"/>
    <w:rsid w:val="003D4C24"/>
    <w:rsid w:val="00431412"/>
    <w:rsid w:val="00473506"/>
    <w:rsid w:val="004A70B6"/>
    <w:rsid w:val="005011FA"/>
    <w:rsid w:val="00552CCD"/>
    <w:rsid w:val="00596686"/>
    <w:rsid w:val="005B60C8"/>
    <w:rsid w:val="005C2389"/>
    <w:rsid w:val="005D3822"/>
    <w:rsid w:val="005D5194"/>
    <w:rsid w:val="005D63A8"/>
    <w:rsid w:val="005E1264"/>
    <w:rsid w:val="005F5791"/>
    <w:rsid w:val="006240E7"/>
    <w:rsid w:val="006431F9"/>
    <w:rsid w:val="00681043"/>
    <w:rsid w:val="006D1E7E"/>
    <w:rsid w:val="006E5A8C"/>
    <w:rsid w:val="006F3A0C"/>
    <w:rsid w:val="0076443D"/>
    <w:rsid w:val="007A7F66"/>
    <w:rsid w:val="007C2108"/>
    <w:rsid w:val="007E2865"/>
    <w:rsid w:val="0081470D"/>
    <w:rsid w:val="00820F61"/>
    <w:rsid w:val="008319FB"/>
    <w:rsid w:val="00862B5B"/>
    <w:rsid w:val="0086578D"/>
    <w:rsid w:val="00892D18"/>
    <w:rsid w:val="008978FF"/>
    <w:rsid w:val="008A743F"/>
    <w:rsid w:val="00910283"/>
    <w:rsid w:val="00912FB4"/>
    <w:rsid w:val="0091505E"/>
    <w:rsid w:val="009319BD"/>
    <w:rsid w:val="00947376"/>
    <w:rsid w:val="00952E70"/>
    <w:rsid w:val="00974459"/>
    <w:rsid w:val="00982D71"/>
    <w:rsid w:val="009B514E"/>
    <w:rsid w:val="009B6855"/>
    <w:rsid w:val="009F1C3A"/>
    <w:rsid w:val="00A41B6D"/>
    <w:rsid w:val="00A44CAA"/>
    <w:rsid w:val="00A50971"/>
    <w:rsid w:val="00A6214F"/>
    <w:rsid w:val="00A647CC"/>
    <w:rsid w:val="00A86A97"/>
    <w:rsid w:val="00AB6F2E"/>
    <w:rsid w:val="00AC40FE"/>
    <w:rsid w:val="00AC5440"/>
    <w:rsid w:val="00B20340"/>
    <w:rsid w:val="00B32E14"/>
    <w:rsid w:val="00B912DB"/>
    <w:rsid w:val="00B94EA9"/>
    <w:rsid w:val="00BC6E09"/>
    <w:rsid w:val="00C22882"/>
    <w:rsid w:val="00C369ED"/>
    <w:rsid w:val="00C5131A"/>
    <w:rsid w:val="00C80F5C"/>
    <w:rsid w:val="00C84C2C"/>
    <w:rsid w:val="00C85305"/>
    <w:rsid w:val="00C93C46"/>
    <w:rsid w:val="00C94F6D"/>
    <w:rsid w:val="00CA544D"/>
    <w:rsid w:val="00CA6EBA"/>
    <w:rsid w:val="00CB7D68"/>
    <w:rsid w:val="00CC1EA7"/>
    <w:rsid w:val="00CE3EE8"/>
    <w:rsid w:val="00CF222C"/>
    <w:rsid w:val="00D1169B"/>
    <w:rsid w:val="00D22FBB"/>
    <w:rsid w:val="00D236B3"/>
    <w:rsid w:val="00D30699"/>
    <w:rsid w:val="00D834DA"/>
    <w:rsid w:val="00D91468"/>
    <w:rsid w:val="00DF52AD"/>
    <w:rsid w:val="00E47B40"/>
    <w:rsid w:val="00E5192F"/>
    <w:rsid w:val="00E80110"/>
    <w:rsid w:val="00EE1525"/>
    <w:rsid w:val="00EF0686"/>
    <w:rsid w:val="00F07B23"/>
    <w:rsid w:val="00FA0D4C"/>
    <w:rsid w:val="00FC7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0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431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31F9"/>
    <w:rPr>
      <w:rFonts w:ascii="Tahoma" w:eastAsiaTheme="minorEastAsia" w:hAnsi="Tahoma" w:cs="Tahoma"/>
      <w:sz w:val="16"/>
      <w:szCs w:val="16"/>
      <w:lang w:eastAsia="ru-RU"/>
    </w:rPr>
  </w:style>
  <w:style w:type="character" w:customStyle="1" w:styleId="greyblock">
    <w:name w:val="grey_block"/>
    <w:basedOn w:val="a0"/>
    <w:rsid w:val="00952E70"/>
  </w:style>
  <w:style w:type="character" w:styleId="a6">
    <w:name w:val="Hyperlink"/>
    <w:basedOn w:val="a0"/>
    <w:uiPriority w:val="99"/>
    <w:unhideWhenUsed/>
    <w:rsid w:val="004A70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0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431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31F9"/>
    <w:rPr>
      <w:rFonts w:ascii="Tahoma" w:eastAsiaTheme="minorEastAsia" w:hAnsi="Tahoma" w:cs="Tahoma"/>
      <w:sz w:val="16"/>
      <w:szCs w:val="16"/>
      <w:lang w:eastAsia="ru-RU"/>
    </w:rPr>
  </w:style>
  <w:style w:type="character" w:customStyle="1" w:styleId="greyblock">
    <w:name w:val="grey_block"/>
    <w:basedOn w:val="a0"/>
    <w:rsid w:val="00952E70"/>
  </w:style>
  <w:style w:type="character" w:styleId="a6">
    <w:name w:val="Hyperlink"/>
    <w:basedOn w:val="a0"/>
    <w:uiPriority w:val="99"/>
    <w:unhideWhenUsed/>
    <w:rsid w:val="004A7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854">
      <w:bodyDiv w:val="1"/>
      <w:marLeft w:val="0"/>
      <w:marRight w:val="0"/>
      <w:marTop w:val="0"/>
      <w:marBottom w:val="0"/>
      <w:divBdr>
        <w:top w:val="none" w:sz="0" w:space="0" w:color="auto"/>
        <w:left w:val="none" w:sz="0" w:space="0" w:color="auto"/>
        <w:bottom w:val="none" w:sz="0" w:space="0" w:color="auto"/>
        <w:right w:val="none" w:sz="0" w:space="0" w:color="auto"/>
      </w:divBdr>
    </w:div>
    <w:div w:id="308246032">
      <w:bodyDiv w:val="1"/>
      <w:marLeft w:val="0"/>
      <w:marRight w:val="0"/>
      <w:marTop w:val="0"/>
      <w:marBottom w:val="0"/>
      <w:divBdr>
        <w:top w:val="none" w:sz="0" w:space="0" w:color="auto"/>
        <w:left w:val="none" w:sz="0" w:space="0" w:color="auto"/>
        <w:bottom w:val="none" w:sz="0" w:space="0" w:color="auto"/>
        <w:right w:val="none" w:sz="0" w:space="0" w:color="auto"/>
      </w:divBdr>
    </w:div>
    <w:div w:id="333651218">
      <w:bodyDiv w:val="1"/>
      <w:marLeft w:val="0"/>
      <w:marRight w:val="0"/>
      <w:marTop w:val="0"/>
      <w:marBottom w:val="0"/>
      <w:divBdr>
        <w:top w:val="none" w:sz="0" w:space="0" w:color="auto"/>
        <w:left w:val="none" w:sz="0" w:space="0" w:color="auto"/>
        <w:bottom w:val="none" w:sz="0" w:space="0" w:color="auto"/>
        <w:right w:val="none" w:sz="0" w:space="0" w:color="auto"/>
      </w:divBdr>
    </w:div>
    <w:div w:id="351298925">
      <w:bodyDiv w:val="1"/>
      <w:marLeft w:val="0"/>
      <w:marRight w:val="0"/>
      <w:marTop w:val="0"/>
      <w:marBottom w:val="0"/>
      <w:divBdr>
        <w:top w:val="none" w:sz="0" w:space="0" w:color="auto"/>
        <w:left w:val="none" w:sz="0" w:space="0" w:color="auto"/>
        <w:bottom w:val="none" w:sz="0" w:space="0" w:color="auto"/>
        <w:right w:val="none" w:sz="0" w:space="0" w:color="auto"/>
      </w:divBdr>
    </w:div>
    <w:div w:id="430971074">
      <w:bodyDiv w:val="1"/>
      <w:marLeft w:val="0"/>
      <w:marRight w:val="0"/>
      <w:marTop w:val="0"/>
      <w:marBottom w:val="0"/>
      <w:divBdr>
        <w:top w:val="none" w:sz="0" w:space="0" w:color="auto"/>
        <w:left w:val="none" w:sz="0" w:space="0" w:color="auto"/>
        <w:bottom w:val="none" w:sz="0" w:space="0" w:color="auto"/>
        <w:right w:val="none" w:sz="0" w:space="0" w:color="auto"/>
      </w:divBdr>
    </w:div>
    <w:div w:id="602151462">
      <w:bodyDiv w:val="1"/>
      <w:marLeft w:val="0"/>
      <w:marRight w:val="0"/>
      <w:marTop w:val="0"/>
      <w:marBottom w:val="0"/>
      <w:divBdr>
        <w:top w:val="none" w:sz="0" w:space="0" w:color="auto"/>
        <w:left w:val="none" w:sz="0" w:space="0" w:color="auto"/>
        <w:bottom w:val="none" w:sz="0" w:space="0" w:color="auto"/>
        <w:right w:val="none" w:sz="0" w:space="0" w:color="auto"/>
      </w:divBdr>
    </w:div>
    <w:div w:id="610623489">
      <w:bodyDiv w:val="1"/>
      <w:marLeft w:val="0"/>
      <w:marRight w:val="0"/>
      <w:marTop w:val="0"/>
      <w:marBottom w:val="0"/>
      <w:divBdr>
        <w:top w:val="none" w:sz="0" w:space="0" w:color="auto"/>
        <w:left w:val="none" w:sz="0" w:space="0" w:color="auto"/>
        <w:bottom w:val="none" w:sz="0" w:space="0" w:color="auto"/>
        <w:right w:val="none" w:sz="0" w:space="0" w:color="auto"/>
      </w:divBdr>
    </w:div>
    <w:div w:id="847404661">
      <w:bodyDiv w:val="1"/>
      <w:marLeft w:val="0"/>
      <w:marRight w:val="0"/>
      <w:marTop w:val="0"/>
      <w:marBottom w:val="0"/>
      <w:divBdr>
        <w:top w:val="none" w:sz="0" w:space="0" w:color="auto"/>
        <w:left w:val="none" w:sz="0" w:space="0" w:color="auto"/>
        <w:bottom w:val="none" w:sz="0" w:space="0" w:color="auto"/>
        <w:right w:val="none" w:sz="0" w:space="0" w:color="auto"/>
      </w:divBdr>
    </w:div>
    <w:div w:id="960261656">
      <w:bodyDiv w:val="1"/>
      <w:marLeft w:val="0"/>
      <w:marRight w:val="0"/>
      <w:marTop w:val="0"/>
      <w:marBottom w:val="0"/>
      <w:divBdr>
        <w:top w:val="none" w:sz="0" w:space="0" w:color="auto"/>
        <w:left w:val="none" w:sz="0" w:space="0" w:color="auto"/>
        <w:bottom w:val="none" w:sz="0" w:space="0" w:color="auto"/>
        <w:right w:val="none" w:sz="0" w:space="0" w:color="auto"/>
      </w:divBdr>
    </w:div>
    <w:div w:id="998506967">
      <w:bodyDiv w:val="1"/>
      <w:marLeft w:val="0"/>
      <w:marRight w:val="0"/>
      <w:marTop w:val="0"/>
      <w:marBottom w:val="0"/>
      <w:divBdr>
        <w:top w:val="none" w:sz="0" w:space="0" w:color="auto"/>
        <w:left w:val="none" w:sz="0" w:space="0" w:color="auto"/>
        <w:bottom w:val="none" w:sz="0" w:space="0" w:color="auto"/>
        <w:right w:val="none" w:sz="0" w:space="0" w:color="auto"/>
      </w:divBdr>
    </w:div>
    <w:div w:id="1086608388">
      <w:bodyDiv w:val="1"/>
      <w:marLeft w:val="0"/>
      <w:marRight w:val="0"/>
      <w:marTop w:val="0"/>
      <w:marBottom w:val="0"/>
      <w:divBdr>
        <w:top w:val="none" w:sz="0" w:space="0" w:color="auto"/>
        <w:left w:val="none" w:sz="0" w:space="0" w:color="auto"/>
        <w:bottom w:val="none" w:sz="0" w:space="0" w:color="auto"/>
        <w:right w:val="none" w:sz="0" w:space="0" w:color="auto"/>
      </w:divBdr>
    </w:div>
    <w:div w:id="1195575196">
      <w:bodyDiv w:val="1"/>
      <w:marLeft w:val="0"/>
      <w:marRight w:val="0"/>
      <w:marTop w:val="0"/>
      <w:marBottom w:val="0"/>
      <w:divBdr>
        <w:top w:val="none" w:sz="0" w:space="0" w:color="auto"/>
        <w:left w:val="none" w:sz="0" w:space="0" w:color="auto"/>
        <w:bottom w:val="none" w:sz="0" w:space="0" w:color="auto"/>
        <w:right w:val="none" w:sz="0" w:space="0" w:color="auto"/>
      </w:divBdr>
    </w:div>
    <w:div w:id="1268581328">
      <w:bodyDiv w:val="1"/>
      <w:marLeft w:val="0"/>
      <w:marRight w:val="0"/>
      <w:marTop w:val="0"/>
      <w:marBottom w:val="0"/>
      <w:divBdr>
        <w:top w:val="none" w:sz="0" w:space="0" w:color="auto"/>
        <w:left w:val="none" w:sz="0" w:space="0" w:color="auto"/>
        <w:bottom w:val="none" w:sz="0" w:space="0" w:color="auto"/>
        <w:right w:val="none" w:sz="0" w:space="0" w:color="auto"/>
      </w:divBdr>
    </w:div>
    <w:div w:id="1330211706">
      <w:bodyDiv w:val="1"/>
      <w:marLeft w:val="0"/>
      <w:marRight w:val="0"/>
      <w:marTop w:val="0"/>
      <w:marBottom w:val="0"/>
      <w:divBdr>
        <w:top w:val="none" w:sz="0" w:space="0" w:color="auto"/>
        <w:left w:val="none" w:sz="0" w:space="0" w:color="auto"/>
        <w:bottom w:val="none" w:sz="0" w:space="0" w:color="auto"/>
        <w:right w:val="none" w:sz="0" w:space="0" w:color="auto"/>
      </w:divBdr>
    </w:div>
    <w:div w:id="1332101935">
      <w:bodyDiv w:val="1"/>
      <w:marLeft w:val="0"/>
      <w:marRight w:val="0"/>
      <w:marTop w:val="0"/>
      <w:marBottom w:val="0"/>
      <w:divBdr>
        <w:top w:val="none" w:sz="0" w:space="0" w:color="auto"/>
        <w:left w:val="none" w:sz="0" w:space="0" w:color="auto"/>
        <w:bottom w:val="none" w:sz="0" w:space="0" w:color="auto"/>
        <w:right w:val="none" w:sz="0" w:space="0" w:color="auto"/>
      </w:divBdr>
    </w:div>
    <w:div w:id="1356425532">
      <w:bodyDiv w:val="1"/>
      <w:marLeft w:val="0"/>
      <w:marRight w:val="0"/>
      <w:marTop w:val="0"/>
      <w:marBottom w:val="0"/>
      <w:divBdr>
        <w:top w:val="none" w:sz="0" w:space="0" w:color="auto"/>
        <w:left w:val="none" w:sz="0" w:space="0" w:color="auto"/>
        <w:bottom w:val="none" w:sz="0" w:space="0" w:color="auto"/>
        <w:right w:val="none" w:sz="0" w:space="0" w:color="auto"/>
      </w:divBdr>
    </w:div>
    <w:div w:id="1364550747">
      <w:bodyDiv w:val="1"/>
      <w:marLeft w:val="0"/>
      <w:marRight w:val="0"/>
      <w:marTop w:val="0"/>
      <w:marBottom w:val="0"/>
      <w:divBdr>
        <w:top w:val="none" w:sz="0" w:space="0" w:color="auto"/>
        <w:left w:val="none" w:sz="0" w:space="0" w:color="auto"/>
        <w:bottom w:val="none" w:sz="0" w:space="0" w:color="auto"/>
        <w:right w:val="none" w:sz="0" w:space="0" w:color="auto"/>
      </w:divBdr>
    </w:div>
    <w:div w:id="1405182122">
      <w:bodyDiv w:val="1"/>
      <w:marLeft w:val="0"/>
      <w:marRight w:val="0"/>
      <w:marTop w:val="0"/>
      <w:marBottom w:val="0"/>
      <w:divBdr>
        <w:top w:val="none" w:sz="0" w:space="0" w:color="auto"/>
        <w:left w:val="none" w:sz="0" w:space="0" w:color="auto"/>
        <w:bottom w:val="none" w:sz="0" w:space="0" w:color="auto"/>
        <w:right w:val="none" w:sz="0" w:space="0" w:color="auto"/>
      </w:divBdr>
    </w:div>
    <w:div w:id="1607228535">
      <w:bodyDiv w:val="1"/>
      <w:marLeft w:val="0"/>
      <w:marRight w:val="0"/>
      <w:marTop w:val="0"/>
      <w:marBottom w:val="0"/>
      <w:divBdr>
        <w:top w:val="none" w:sz="0" w:space="0" w:color="auto"/>
        <w:left w:val="none" w:sz="0" w:space="0" w:color="auto"/>
        <w:bottom w:val="none" w:sz="0" w:space="0" w:color="auto"/>
        <w:right w:val="none" w:sz="0" w:space="0" w:color="auto"/>
      </w:divBdr>
    </w:div>
    <w:div w:id="1672021826">
      <w:bodyDiv w:val="1"/>
      <w:marLeft w:val="0"/>
      <w:marRight w:val="0"/>
      <w:marTop w:val="0"/>
      <w:marBottom w:val="0"/>
      <w:divBdr>
        <w:top w:val="none" w:sz="0" w:space="0" w:color="auto"/>
        <w:left w:val="none" w:sz="0" w:space="0" w:color="auto"/>
        <w:bottom w:val="none" w:sz="0" w:space="0" w:color="auto"/>
        <w:right w:val="none" w:sz="0" w:space="0" w:color="auto"/>
      </w:divBdr>
    </w:div>
    <w:div w:id="1677803489">
      <w:bodyDiv w:val="1"/>
      <w:marLeft w:val="0"/>
      <w:marRight w:val="0"/>
      <w:marTop w:val="0"/>
      <w:marBottom w:val="0"/>
      <w:divBdr>
        <w:top w:val="none" w:sz="0" w:space="0" w:color="auto"/>
        <w:left w:val="none" w:sz="0" w:space="0" w:color="auto"/>
        <w:bottom w:val="none" w:sz="0" w:space="0" w:color="auto"/>
        <w:right w:val="none" w:sz="0" w:space="0" w:color="auto"/>
      </w:divBdr>
    </w:div>
    <w:div w:id="1722483655">
      <w:bodyDiv w:val="1"/>
      <w:marLeft w:val="0"/>
      <w:marRight w:val="0"/>
      <w:marTop w:val="0"/>
      <w:marBottom w:val="0"/>
      <w:divBdr>
        <w:top w:val="none" w:sz="0" w:space="0" w:color="auto"/>
        <w:left w:val="none" w:sz="0" w:space="0" w:color="auto"/>
        <w:bottom w:val="none" w:sz="0" w:space="0" w:color="auto"/>
        <w:right w:val="none" w:sz="0" w:space="0" w:color="auto"/>
      </w:divBdr>
    </w:div>
    <w:div w:id="1724399943">
      <w:bodyDiv w:val="1"/>
      <w:marLeft w:val="0"/>
      <w:marRight w:val="0"/>
      <w:marTop w:val="0"/>
      <w:marBottom w:val="0"/>
      <w:divBdr>
        <w:top w:val="none" w:sz="0" w:space="0" w:color="auto"/>
        <w:left w:val="none" w:sz="0" w:space="0" w:color="auto"/>
        <w:bottom w:val="none" w:sz="0" w:space="0" w:color="auto"/>
        <w:right w:val="none" w:sz="0" w:space="0" w:color="auto"/>
      </w:divBdr>
    </w:div>
    <w:div w:id="2099138128">
      <w:bodyDiv w:val="1"/>
      <w:marLeft w:val="0"/>
      <w:marRight w:val="0"/>
      <w:marTop w:val="0"/>
      <w:marBottom w:val="0"/>
      <w:divBdr>
        <w:top w:val="none" w:sz="0" w:space="0" w:color="auto"/>
        <w:left w:val="none" w:sz="0" w:space="0" w:color="auto"/>
        <w:bottom w:val="none" w:sz="0" w:space="0" w:color="auto"/>
        <w:right w:val="none" w:sz="0" w:space="0" w:color="auto"/>
      </w:divBdr>
    </w:div>
    <w:div w:id="21046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10861</Words>
  <Characters>61909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2017-02-10T12:34:00Z</cp:lastPrinted>
  <dcterms:created xsi:type="dcterms:W3CDTF">2018-10-16T08:36:00Z</dcterms:created>
  <dcterms:modified xsi:type="dcterms:W3CDTF">2018-10-16T08:36:00Z</dcterms:modified>
</cp:coreProperties>
</file>